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4234A" w14:textId="77777777" w:rsidR="0066211E" w:rsidRPr="00CB36BF" w:rsidRDefault="0066211E" w:rsidP="009D28A3">
      <w:pPr>
        <w:pStyle w:val="Nadpis1"/>
        <w:jc w:val="left"/>
        <w:rPr>
          <w:lang w:eastAsia="cs-CZ"/>
        </w:rPr>
      </w:pPr>
      <w:r w:rsidRPr="00CB36BF">
        <w:t>Vymezení</w:t>
      </w:r>
      <w:r w:rsidRPr="00CB36BF">
        <w:rPr>
          <w:lang w:eastAsia="ar-SA"/>
        </w:rPr>
        <w:t xml:space="preserve"> předmětu plnění </w:t>
      </w:r>
    </w:p>
    <w:p w14:paraId="2A9A8508" w14:textId="77777777" w:rsidR="0066211E" w:rsidRPr="00CB36BF" w:rsidRDefault="004E161D" w:rsidP="009D28A3">
      <w:pPr>
        <w:pStyle w:val="Nadpis2"/>
        <w:jc w:val="left"/>
        <w:rPr>
          <w:lang w:eastAsia="cs-CZ"/>
        </w:rPr>
      </w:pPr>
      <w:r w:rsidRPr="00CB36BF">
        <w:rPr>
          <w:lang w:eastAsia="cs-CZ"/>
        </w:rPr>
        <w:t>Předmět plnění</w:t>
      </w:r>
    </w:p>
    <w:p w14:paraId="04EE51C3" w14:textId="540BDE89" w:rsidR="00626F11" w:rsidRDefault="00FA3682" w:rsidP="00BC4005">
      <w:pPr>
        <w:pStyle w:val="Normln-Odstavec"/>
      </w:pPr>
      <w:r w:rsidRPr="00CB36BF">
        <w:t xml:space="preserve">Předmětem plnění veřejné zakázky jsou dodávky včetně služeb (dále také jen „řešení“ nebo "projekt") – pro vybudování nové centrální IT infrastruktury Zadavatele v rámci veřejné </w:t>
      </w:r>
      <w:r w:rsidRPr="004F2B7F">
        <w:t>zakázky „</w:t>
      </w:r>
      <w:r w:rsidR="00EC5EF9" w:rsidRPr="004F2B7F">
        <w:t>Rozvoj služeb TC ORP Cheb</w:t>
      </w:r>
      <w:r w:rsidRPr="004F2B7F">
        <w:t>“ (dále</w:t>
      </w:r>
      <w:r w:rsidRPr="00CB36BF">
        <w:t xml:space="preserve"> také jen „VZ“), podrobná specifikace dodávek a služeb je uvedena v dalších kapitolách tohoto dokumentu</w:t>
      </w:r>
      <w:r w:rsidR="00626F11" w:rsidRPr="00CB36BF">
        <w:t xml:space="preserve">. </w:t>
      </w:r>
      <w:r w:rsidR="005649B7" w:rsidRPr="007A7FF5">
        <w:t>Součástí plnění je dále podpora provozu na dobu 60 měsíců po předání řešení do ostrého provozu.</w:t>
      </w:r>
      <w:r w:rsidR="005649B7">
        <w:t xml:space="preserve"> </w:t>
      </w:r>
      <w:r w:rsidR="005F0086" w:rsidRPr="00CB36BF">
        <w:t>Ř</w:t>
      </w:r>
      <w:r w:rsidR="00626F11" w:rsidRPr="00CB36BF">
        <w:t xml:space="preserve">ešení musí být navrženo tak, aby náklady na provoz systému byly co nejmenší. </w:t>
      </w:r>
    </w:p>
    <w:p w14:paraId="270D8F5A" w14:textId="1313AC6D" w:rsidR="00E202E3" w:rsidRPr="00CB36BF" w:rsidRDefault="00E202E3" w:rsidP="00E202E3">
      <w:pPr>
        <w:pStyle w:val="Normln-Odstavec"/>
      </w:pPr>
      <w:r w:rsidRPr="00E202E3">
        <w:t xml:space="preserve">Město </w:t>
      </w:r>
      <w:r>
        <w:t>Cheb</w:t>
      </w:r>
      <w:r w:rsidRPr="00E202E3">
        <w:t xml:space="preserve"> realizovalo projekt Technologického centra obce s rozšířenou působností (dále TC ORP) v rámci Výzvy IOP číslo 06. Poptávané řešení v maximální míře využívá prostředky TC ORP, vhodným způsobem rozšiřuje jeho funkce</w:t>
      </w:r>
      <w:r>
        <w:t xml:space="preserve">, možnosti využití TC ORP příspěvkovými organizacemi </w:t>
      </w:r>
      <w:r w:rsidRPr="00E202E3">
        <w:t>a zvyšuje bezpečnost</w:t>
      </w:r>
      <w:r>
        <w:t>.</w:t>
      </w:r>
    </w:p>
    <w:p w14:paraId="70B0FC54" w14:textId="77777777" w:rsidR="00626F11" w:rsidRPr="00CB36BF" w:rsidRDefault="00626F11" w:rsidP="009D28A3">
      <w:pPr>
        <w:pStyle w:val="Normln-Odstavec"/>
        <w:jc w:val="left"/>
      </w:pPr>
      <w:r w:rsidRPr="00CB36BF">
        <w:t>Předmětem plnění veřejné zakázky jsou zařízení a systémy uvedené v následující tabulce, včetně služeb</w:t>
      </w:r>
      <w:r w:rsidR="00B076B4" w:rsidRPr="00CB36BF">
        <w:t xml:space="preserve"> (komodity)</w:t>
      </w:r>
      <w:r w:rsidRPr="00CB36BF">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6283"/>
        <w:gridCol w:w="1123"/>
      </w:tblGrid>
      <w:tr w:rsidR="005F0086" w:rsidRPr="00CB36BF" w14:paraId="4E88472F" w14:textId="77777777" w:rsidTr="005F0086">
        <w:tc>
          <w:tcPr>
            <w:tcW w:w="1016" w:type="dxa"/>
            <w:shd w:val="clear" w:color="auto" w:fill="C6D9F1"/>
          </w:tcPr>
          <w:p w14:paraId="50CD27E3" w14:textId="77777777" w:rsidR="005F0086" w:rsidRPr="00CB36BF" w:rsidRDefault="005F0086" w:rsidP="00822994">
            <w:pPr>
              <w:pStyle w:val="Normln-Odstavec"/>
              <w:numPr>
                <w:ilvl w:val="0"/>
                <w:numId w:val="0"/>
              </w:numPr>
              <w:rPr>
                <w:b/>
                <w:sz w:val="20"/>
                <w:szCs w:val="20"/>
              </w:rPr>
            </w:pPr>
            <w:r w:rsidRPr="00CB36BF">
              <w:rPr>
                <w:b/>
                <w:sz w:val="20"/>
                <w:szCs w:val="20"/>
              </w:rPr>
              <w:t>Označení</w:t>
            </w:r>
          </w:p>
        </w:tc>
        <w:tc>
          <w:tcPr>
            <w:tcW w:w="6283" w:type="dxa"/>
            <w:shd w:val="clear" w:color="auto" w:fill="C6D9F1"/>
          </w:tcPr>
          <w:p w14:paraId="69801597" w14:textId="77777777" w:rsidR="005F0086" w:rsidRPr="00CB36BF" w:rsidRDefault="00FA3682" w:rsidP="00822994">
            <w:pPr>
              <w:pStyle w:val="Normln-Odstavec"/>
              <w:numPr>
                <w:ilvl w:val="0"/>
                <w:numId w:val="0"/>
              </w:numPr>
              <w:rPr>
                <w:b/>
                <w:sz w:val="20"/>
                <w:szCs w:val="20"/>
              </w:rPr>
            </w:pPr>
            <w:r w:rsidRPr="00CB36BF">
              <w:rPr>
                <w:b/>
                <w:sz w:val="20"/>
                <w:szCs w:val="20"/>
              </w:rPr>
              <w:t>Název</w:t>
            </w:r>
          </w:p>
        </w:tc>
        <w:tc>
          <w:tcPr>
            <w:tcW w:w="1123" w:type="dxa"/>
            <w:shd w:val="clear" w:color="auto" w:fill="C6D9F1"/>
          </w:tcPr>
          <w:p w14:paraId="71C931CC" w14:textId="77777777" w:rsidR="005F0086" w:rsidRPr="00CB36BF" w:rsidRDefault="005F0086" w:rsidP="00822994">
            <w:pPr>
              <w:pStyle w:val="Normln-Odstavec"/>
              <w:numPr>
                <w:ilvl w:val="0"/>
                <w:numId w:val="0"/>
              </w:numPr>
              <w:rPr>
                <w:b/>
                <w:sz w:val="20"/>
                <w:szCs w:val="20"/>
              </w:rPr>
            </w:pPr>
            <w:r w:rsidRPr="00CB36BF">
              <w:rPr>
                <w:b/>
                <w:sz w:val="20"/>
                <w:szCs w:val="20"/>
              </w:rPr>
              <w:t>Počet</w:t>
            </w:r>
          </w:p>
        </w:tc>
      </w:tr>
      <w:tr w:rsidR="005F0086" w:rsidRPr="00CB36BF" w14:paraId="5B00BA65" w14:textId="77777777" w:rsidTr="005F0086">
        <w:tc>
          <w:tcPr>
            <w:tcW w:w="1016" w:type="dxa"/>
            <w:shd w:val="clear" w:color="auto" w:fill="auto"/>
            <w:vAlign w:val="center"/>
          </w:tcPr>
          <w:p w14:paraId="5D1FBB73" w14:textId="77777777" w:rsidR="005F0086" w:rsidRPr="00CB36BF" w:rsidRDefault="005F0086" w:rsidP="00822994">
            <w:pPr>
              <w:pStyle w:val="Normln-Odstavec"/>
              <w:numPr>
                <w:ilvl w:val="0"/>
                <w:numId w:val="0"/>
              </w:numPr>
              <w:jc w:val="center"/>
            </w:pPr>
            <w:r w:rsidRPr="00CB36BF">
              <w:t>K1</w:t>
            </w:r>
          </w:p>
        </w:tc>
        <w:tc>
          <w:tcPr>
            <w:tcW w:w="6283" w:type="dxa"/>
            <w:shd w:val="clear" w:color="auto" w:fill="auto"/>
            <w:vAlign w:val="center"/>
          </w:tcPr>
          <w:p w14:paraId="256721C4" w14:textId="408DE809" w:rsidR="005F0086" w:rsidRPr="00CB36BF" w:rsidRDefault="00942595" w:rsidP="007313DC">
            <w:pPr>
              <w:pStyle w:val="Normln-Odstavec"/>
              <w:numPr>
                <w:ilvl w:val="0"/>
                <w:numId w:val="0"/>
              </w:numPr>
              <w:jc w:val="left"/>
            </w:pPr>
            <w:r>
              <w:t>Virtualizační platforma</w:t>
            </w:r>
          </w:p>
        </w:tc>
        <w:tc>
          <w:tcPr>
            <w:tcW w:w="1123" w:type="dxa"/>
            <w:shd w:val="clear" w:color="auto" w:fill="auto"/>
            <w:vAlign w:val="center"/>
          </w:tcPr>
          <w:p w14:paraId="008720C4" w14:textId="77777777" w:rsidR="005F0086" w:rsidRPr="00CB36BF" w:rsidRDefault="005F0086" w:rsidP="00822994">
            <w:pPr>
              <w:pStyle w:val="Normln-Odstavec"/>
              <w:numPr>
                <w:ilvl w:val="0"/>
                <w:numId w:val="0"/>
              </w:numPr>
              <w:jc w:val="center"/>
            </w:pPr>
            <w:r w:rsidRPr="00CB36BF">
              <w:t>1</w:t>
            </w:r>
          </w:p>
        </w:tc>
      </w:tr>
      <w:tr w:rsidR="005F0086" w:rsidRPr="00CB36BF" w14:paraId="50CF90DD" w14:textId="77777777" w:rsidTr="005F0086">
        <w:tc>
          <w:tcPr>
            <w:tcW w:w="1016" w:type="dxa"/>
            <w:shd w:val="clear" w:color="auto" w:fill="auto"/>
            <w:vAlign w:val="center"/>
          </w:tcPr>
          <w:p w14:paraId="5A3E028D" w14:textId="179B460B" w:rsidR="005F0086" w:rsidRPr="00CB36BF" w:rsidRDefault="00942595" w:rsidP="00822994">
            <w:pPr>
              <w:pStyle w:val="Normln-Odstavec"/>
              <w:numPr>
                <w:ilvl w:val="0"/>
                <w:numId w:val="0"/>
              </w:numPr>
              <w:jc w:val="center"/>
            </w:pPr>
            <w:r>
              <w:t>K2</w:t>
            </w:r>
          </w:p>
        </w:tc>
        <w:tc>
          <w:tcPr>
            <w:tcW w:w="6283" w:type="dxa"/>
            <w:shd w:val="clear" w:color="auto" w:fill="auto"/>
            <w:vAlign w:val="center"/>
          </w:tcPr>
          <w:p w14:paraId="17F4C27A" w14:textId="72EC9D5C" w:rsidR="005F0086" w:rsidRPr="00CB36BF" w:rsidRDefault="00634A80" w:rsidP="009B3A3C">
            <w:pPr>
              <w:pStyle w:val="Normln-Odstavec"/>
              <w:numPr>
                <w:ilvl w:val="0"/>
                <w:numId w:val="0"/>
              </w:numPr>
              <w:jc w:val="left"/>
            </w:pPr>
            <w:r>
              <w:t>Bezpečnostní systém</w:t>
            </w:r>
          </w:p>
        </w:tc>
        <w:tc>
          <w:tcPr>
            <w:tcW w:w="1123" w:type="dxa"/>
            <w:shd w:val="clear" w:color="auto" w:fill="auto"/>
            <w:vAlign w:val="center"/>
          </w:tcPr>
          <w:p w14:paraId="23D58156" w14:textId="77777777" w:rsidR="005F0086" w:rsidRPr="00CB36BF" w:rsidRDefault="005F0086" w:rsidP="00822994">
            <w:pPr>
              <w:pStyle w:val="Normln-Odstavec"/>
              <w:numPr>
                <w:ilvl w:val="0"/>
                <w:numId w:val="0"/>
              </w:numPr>
              <w:jc w:val="center"/>
            </w:pPr>
            <w:r w:rsidRPr="00CB36BF">
              <w:t>1</w:t>
            </w:r>
          </w:p>
        </w:tc>
      </w:tr>
      <w:tr w:rsidR="00B949E4" w:rsidRPr="00CB36BF" w14:paraId="7F4D3529" w14:textId="77777777" w:rsidTr="005F0086">
        <w:tc>
          <w:tcPr>
            <w:tcW w:w="1016" w:type="dxa"/>
            <w:shd w:val="clear" w:color="auto" w:fill="auto"/>
            <w:vAlign w:val="center"/>
          </w:tcPr>
          <w:p w14:paraId="1D599C40" w14:textId="782B8738" w:rsidR="00B949E4" w:rsidRPr="00CB36BF" w:rsidRDefault="00942595" w:rsidP="00822994">
            <w:pPr>
              <w:pStyle w:val="Normln-Odstavec"/>
              <w:numPr>
                <w:ilvl w:val="0"/>
                <w:numId w:val="0"/>
              </w:numPr>
              <w:jc w:val="center"/>
            </w:pPr>
            <w:r>
              <w:t>K3</w:t>
            </w:r>
          </w:p>
        </w:tc>
        <w:tc>
          <w:tcPr>
            <w:tcW w:w="6283" w:type="dxa"/>
            <w:shd w:val="clear" w:color="auto" w:fill="auto"/>
            <w:vAlign w:val="center"/>
          </w:tcPr>
          <w:p w14:paraId="11CBF7EE" w14:textId="48B77F53" w:rsidR="00B949E4" w:rsidRPr="00B949E4" w:rsidRDefault="00E202E3" w:rsidP="00E505E5">
            <w:pPr>
              <w:pStyle w:val="Normln-Odstavec"/>
              <w:numPr>
                <w:ilvl w:val="0"/>
                <w:numId w:val="0"/>
              </w:numPr>
              <w:jc w:val="left"/>
            </w:pPr>
            <w:r w:rsidRPr="00E202E3">
              <w:t xml:space="preserve">Sjednocení účetnictví a evidence majetku pro </w:t>
            </w:r>
            <w:r w:rsidR="00E505E5">
              <w:t>PO</w:t>
            </w:r>
          </w:p>
        </w:tc>
        <w:tc>
          <w:tcPr>
            <w:tcW w:w="1123" w:type="dxa"/>
            <w:shd w:val="clear" w:color="auto" w:fill="auto"/>
            <w:vAlign w:val="center"/>
          </w:tcPr>
          <w:p w14:paraId="58F30D2C" w14:textId="29F33CCE" w:rsidR="00B949E4" w:rsidRPr="00CB36BF" w:rsidRDefault="00B949E4" w:rsidP="00822994">
            <w:pPr>
              <w:pStyle w:val="Normln-Odstavec"/>
              <w:numPr>
                <w:ilvl w:val="0"/>
                <w:numId w:val="0"/>
              </w:numPr>
              <w:jc w:val="center"/>
            </w:pPr>
            <w:r>
              <w:t>1</w:t>
            </w:r>
          </w:p>
        </w:tc>
      </w:tr>
      <w:tr w:rsidR="00B949E4" w:rsidRPr="00CB36BF" w14:paraId="3548D2B5" w14:textId="77777777" w:rsidTr="005F0086">
        <w:tc>
          <w:tcPr>
            <w:tcW w:w="1016" w:type="dxa"/>
            <w:shd w:val="clear" w:color="auto" w:fill="auto"/>
            <w:vAlign w:val="center"/>
          </w:tcPr>
          <w:p w14:paraId="2C239B3A" w14:textId="51F95DD0" w:rsidR="00B949E4" w:rsidRDefault="00942595" w:rsidP="00822994">
            <w:pPr>
              <w:pStyle w:val="Normln-Odstavec"/>
              <w:numPr>
                <w:ilvl w:val="0"/>
                <w:numId w:val="0"/>
              </w:numPr>
              <w:jc w:val="center"/>
            </w:pPr>
            <w:r>
              <w:t>K4</w:t>
            </w:r>
          </w:p>
        </w:tc>
        <w:tc>
          <w:tcPr>
            <w:tcW w:w="6283" w:type="dxa"/>
            <w:shd w:val="clear" w:color="auto" w:fill="auto"/>
            <w:vAlign w:val="center"/>
          </w:tcPr>
          <w:p w14:paraId="6D06BF4F" w14:textId="35EB7E05" w:rsidR="00B949E4" w:rsidRPr="00B949E4" w:rsidRDefault="00E505E5" w:rsidP="00377346">
            <w:pPr>
              <w:pStyle w:val="Normln-Odstavec"/>
              <w:numPr>
                <w:ilvl w:val="0"/>
                <w:numId w:val="0"/>
              </w:numPr>
              <w:jc w:val="left"/>
            </w:pPr>
            <w:r w:rsidRPr="00E505E5">
              <w:t>Správní řízení</w:t>
            </w:r>
          </w:p>
        </w:tc>
        <w:tc>
          <w:tcPr>
            <w:tcW w:w="1123" w:type="dxa"/>
            <w:shd w:val="clear" w:color="auto" w:fill="auto"/>
            <w:vAlign w:val="center"/>
          </w:tcPr>
          <w:p w14:paraId="36E61F3A" w14:textId="737067FA" w:rsidR="00B949E4" w:rsidRPr="00CB36BF" w:rsidRDefault="00B949E4" w:rsidP="00822994">
            <w:pPr>
              <w:pStyle w:val="Normln-Odstavec"/>
              <w:numPr>
                <w:ilvl w:val="0"/>
                <w:numId w:val="0"/>
              </w:numPr>
              <w:jc w:val="center"/>
            </w:pPr>
            <w:r>
              <w:t>1</w:t>
            </w:r>
          </w:p>
        </w:tc>
      </w:tr>
      <w:tr w:rsidR="00A86313" w:rsidRPr="00CB36BF" w14:paraId="2D293D6A" w14:textId="77777777" w:rsidTr="005F0086">
        <w:tc>
          <w:tcPr>
            <w:tcW w:w="1016" w:type="dxa"/>
            <w:shd w:val="clear" w:color="auto" w:fill="auto"/>
            <w:vAlign w:val="center"/>
          </w:tcPr>
          <w:p w14:paraId="0AD1665E" w14:textId="39C1B101" w:rsidR="00A86313" w:rsidRDefault="00A86313" w:rsidP="00822994">
            <w:pPr>
              <w:pStyle w:val="Normln-Odstavec"/>
              <w:numPr>
                <w:ilvl w:val="0"/>
                <w:numId w:val="0"/>
              </w:numPr>
              <w:jc w:val="center"/>
            </w:pPr>
            <w:r>
              <w:t>K5</w:t>
            </w:r>
          </w:p>
        </w:tc>
        <w:tc>
          <w:tcPr>
            <w:tcW w:w="6283" w:type="dxa"/>
            <w:shd w:val="clear" w:color="auto" w:fill="auto"/>
            <w:vAlign w:val="center"/>
          </w:tcPr>
          <w:p w14:paraId="1E50CFB0" w14:textId="24C76397" w:rsidR="00A86313" w:rsidRPr="00B949E4" w:rsidRDefault="00E505E5" w:rsidP="00377346">
            <w:pPr>
              <w:pStyle w:val="Normln-Odstavec"/>
              <w:numPr>
                <w:ilvl w:val="0"/>
                <w:numId w:val="0"/>
              </w:numPr>
              <w:jc w:val="left"/>
            </w:pPr>
            <w:r>
              <w:t>Digitalizace dokumentů</w:t>
            </w:r>
          </w:p>
        </w:tc>
        <w:tc>
          <w:tcPr>
            <w:tcW w:w="1123" w:type="dxa"/>
            <w:shd w:val="clear" w:color="auto" w:fill="auto"/>
            <w:vAlign w:val="center"/>
          </w:tcPr>
          <w:p w14:paraId="1D3C4B80" w14:textId="5B0E1454" w:rsidR="00A86313" w:rsidRDefault="00A86313" w:rsidP="00822994">
            <w:pPr>
              <w:pStyle w:val="Normln-Odstavec"/>
              <w:numPr>
                <w:ilvl w:val="0"/>
                <w:numId w:val="0"/>
              </w:numPr>
              <w:jc w:val="center"/>
            </w:pPr>
            <w:r>
              <w:t>1</w:t>
            </w:r>
          </w:p>
        </w:tc>
      </w:tr>
    </w:tbl>
    <w:p w14:paraId="45F55935" w14:textId="77777777" w:rsidR="0066211E" w:rsidRPr="00CB36BF" w:rsidRDefault="0066211E" w:rsidP="00967ECC">
      <w:pPr>
        <w:pStyle w:val="Nadpis2"/>
        <w:jc w:val="left"/>
        <w:rPr>
          <w:lang w:eastAsia="cs-CZ"/>
        </w:rPr>
      </w:pPr>
      <w:r w:rsidRPr="00CB36BF">
        <w:rPr>
          <w:lang w:eastAsia="cs-CZ"/>
        </w:rPr>
        <w:t xml:space="preserve">Popis </w:t>
      </w:r>
      <w:r w:rsidR="00ED6E18" w:rsidRPr="00CB36BF">
        <w:rPr>
          <w:lang w:eastAsia="cs-CZ"/>
        </w:rPr>
        <w:t>současného</w:t>
      </w:r>
      <w:r w:rsidR="00632DB0" w:rsidRPr="00CB36BF">
        <w:rPr>
          <w:lang w:eastAsia="cs-CZ"/>
        </w:rPr>
        <w:t xml:space="preserve"> </w:t>
      </w:r>
      <w:r w:rsidRPr="00CB36BF">
        <w:rPr>
          <w:lang w:eastAsia="cs-CZ"/>
        </w:rPr>
        <w:t>stavu</w:t>
      </w:r>
    </w:p>
    <w:p w14:paraId="706C27CF" w14:textId="77777777" w:rsidR="00111BBB" w:rsidRPr="00CB36BF" w:rsidRDefault="00111BBB" w:rsidP="00434EE4">
      <w:pPr>
        <w:pStyle w:val="Nadpis3"/>
        <w:numPr>
          <w:ilvl w:val="2"/>
          <w:numId w:val="2"/>
        </w:numPr>
        <w:jc w:val="left"/>
        <w:rPr>
          <w:lang w:eastAsia="cs-CZ"/>
        </w:rPr>
      </w:pPr>
      <w:r w:rsidRPr="00CB36BF">
        <w:rPr>
          <w:lang w:eastAsia="cs-CZ"/>
        </w:rPr>
        <w:t>Popis organizace a její členění</w:t>
      </w:r>
    </w:p>
    <w:p w14:paraId="00401D13" w14:textId="183946F9" w:rsidR="00626F11" w:rsidRPr="00CB36BF" w:rsidRDefault="00B076B4" w:rsidP="00E505E5">
      <w:pPr>
        <w:pStyle w:val="Normln-Odstavec"/>
        <w:jc w:val="left"/>
      </w:pPr>
      <w:r w:rsidRPr="00CB36BF">
        <w:t xml:space="preserve">Organizace Město </w:t>
      </w:r>
      <w:r w:rsidR="00E505E5">
        <w:t>Cheb</w:t>
      </w:r>
      <w:r w:rsidRPr="00CB36BF">
        <w:t xml:space="preserve"> (dále Město) sídlí v Městském úřadě </w:t>
      </w:r>
      <w:r w:rsidR="00E505E5">
        <w:t>Cheb</w:t>
      </w:r>
      <w:r w:rsidR="0039550F" w:rsidRPr="00CB36BF">
        <w:t xml:space="preserve"> </w:t>
      </w:r>
      <w:r w:rsidRPr="00CB36BF">
        <w:t>(dále MÚ), kde pracuje většina zaměstnanců a je zde umístěná významná část IT technologií. Město je zřizovatelem organ</w:t>
      </w:r>
      <w:r w:rsidR="00B949E4">
        <w:t>izací v oblasti kultury</w:t>
      </w:r>
      <w:r w:rsidRPr="00CB36BF">
        <w:t>, školství</w:t>
      </w:r>
      <w:r w:rsidR="00E505E5">
        <w:t>, sociální.</w:t>
      </w:r>
      <w:r w:rsidR="0091048F" w:rsidRPr="00CB36BF">
        <w:t xml:space="preserve">  </w:t>
      </w:r>
    </w:p>
    <w:p w14:paraId="36A81288" w14:textId="77777777" w:rsidR="00111BBB" w:rsidRPr="00CB36BF" w:rsidRDefault="00F07BC0" w:rsidP="00434EE4">
      <w:pPr>
        <w:pStyle w:val="Nadpis3"/>
        <w:numPr>
          <w:ilvl w:val="2"/>
          <w:numId w:val="2"/>
        </w:numPr>
        <w:jc w:val="left"/>
        <w:rPr>
          <w:lang w:eastAsia="cs-CZ"/>
        </w:rPr>
      </w:pPr>
      <w:r w:rsidRPr="00CB36BF">
        <w:rPr>
          <w:lang w:eastAsia="cs-CZ"/>
        </w:rPr>
        <w:t>Popis lokalit</w:t>
      </w:r>
    </w:p>
    <w:p w14:paraId="52A798EF" w14:textId="6DFA1BBE" w:rsidR="008B127F" w:rsidRPr="00CB36BF" w:rsidRDefault="006501F8" w:rsidP="005F260B">
      <w:pPr>
        <w:pStyle w:val="Normln-Odstavec"/>
      </w:pPr>
      <w:r w:rsidRPr="00CB36BF">
        <w:t>Z pohledu IT</w:t>
      </w:r>
      <w:r w:rsidR="00B949E4">
        <w:t xml:space="preserve"> je pro Město nejvýznamnější</w:t>
      </w:r>
      <w:r w:rsidR="00E505E5">
        <w:t>mi lokalitami</w:t>
      </w:r>
      <w:r w:rsidRPr="00CB36BF">
        <w:t xml:space="preserve"> MÚ </w:t>
      </w:r>
      <w:r w:rsidR="00E505E5">
        <w:t>budovy</w:t>
      </w:r>
      <w:r w:rsidR="00C15735">
        <w:t xml:space="preserve"> </w:t>
      </w:r>
      <w:r w:rsidR="00E505E5">
        <w:t>nám. Krále Jiřího z Poděbrad 1/14 a 2</w:t>
      </w:r>
      <w:r w:rsidR="00E505E5" w:rsidRPr="008B127F">
        <w:t>6. dubna 21/4</w:t>
      </w:r>
      <w:r w:rsidR="008B127F">
        <w:t xml:space="preserve">, </w:t>
      </w:r>
      <w:r w:rsidR="00E505E5" w:rsidRPr="008B127F">
        <w:t>350 02  Cheb</w:t>
      </w:r>
      <w:r w:rsidR="00C15735">
        <w:t xml:space="preserve">. </w:t>
      </w:r>
      <w:r w:rsidRPr="00CB36BF">
        <w:t>V</w:t>
      </w:r>
      <w:r w:rsidR="00E505E5">
        <w:t xml:space="preserve"> těchto </w:t>
      </w:r>
      <w:r w:rsidRPr="00CB36BF">
        <w:t xml:space="preserve">lokalitách jsou umístěny </w:t>
      </w:r>
      <w:r w:rsidR="00C15735">
        <w:t xml:space="preserve">ICT </w:t>
      </w:r>
      <w:r w:rsidRPr="00CB36BF">
        <w:t>technologie</w:t>
      </w:r>
      <w:r w:rsidR="00C15735">
        <w:t xml:space="preserve"> a pracoviště zaměstnanců MÚ i některých městských organizací. Provoz</w:t>
      </w:r>
      <w:r w:rsidRPr="00CB36BF">
        <w:t xml:space="preserve"> je zajišťován vlastními zaměstnanci Města ve spolupráci s externími specializovanými firmami.</w:t>
      </w:r>
    </w:p>
    <w:p w14:paraId="51814993" w14:textId="5F4D2DC4" w:rsidR="0059043A" w:rsidRPr="00CB36BF" w:rsidRDefault="006501F8" w:rsidP="00D27FD7">
      <w:pPr>
        <w:pStyle w:val="Normln-Odstavec"/>
      </w:pPr>
      <w:r w:rsidRPr="00CB36BF">
        <w:t>P</w:t>
      </w:r>
      <w:r w:rsidR="008B127F">
        <w:t>rojekt bude realizován v těchto lokalitách</w:t>
      </w:r>
      <w:r w:rsidRPr="00CB36BF">
        <w:t>:</w:t>
      </w:r>
    </w:p>
    <w:p w14:paraId="30EEB436" w14:textId="61424E57" w:rsidR="006501F8" w:rsidRPr="00D57DD0" w:rsidRDefault="006501F8" w:rsidP="00C15735">
      <w:pPr>
        <w:pStyle w:val="Normln-Psmeno"/>
      </w:pPr>
      <w:r w:rsidRPr="00D57DD0">
        <w:t xml:space="preserve">Budova radnice: </w:t>
      </w:r>
      <w:r w:rsidR="008B127F" w:rsidRPr="00D57DD0">
        <w:t xml:space="preserve">nám. Krále Jiřího z Poděbrad 1/14, 350 </w:t>
      </w:r>
      <w:r w:rsidR="00D57DD0">
        <w:t>20</w:t>
      </w:r>
      <w:r w:rsidR="008B127F" w:rsidRPr="00D57DD0">
        <w:t xml:space="preserve"> Cheb</w:t>
      </w:r>
    </w:p>
    <w:p w14:paraId="2EE1A5E6" w14:textId="6AD4DCF2" w:rsidR="008B127F" w:rsidRPr="00D57DD0" w:rsidRDefault="008B127F" w:rsidP="00C15735">
      <w:pPr>
        <w:pStyle w:val="Normln-Psmeno"/>
      </w:pPr>
      <w:r w:rsidRPr="00D57DD0">
        <w:t xml:space="preserve">Budova </w:t>
      </w:r>
      <w:r w:rsidR="000B40E3" w:rsidRPr="00D57DD0">
        <w:t xml:space="preserve">„C“ </w:t>
      </w:r>
      <w:r w:rsidRPr="00D57DD0">
        <w:t>úřadu: 26. dubna 21/4, 350 02  Cheb</w:t>
      </w:r>
    </w:p>
    <w:p w14:paraId="50844592" w14:textId="77777777" w:rsidR="00F07BC0" w:rsidRPr="00CB36BF" w:rsidRDefault="00F07BC0" w:rsidP="00434EE4">
      <w:pPr>
        <w:pStyle w:val="Nadpis3"/>
        <w:numPr>
          <w:ilvl w:val="2"/>
          <w:numId w:val="2"/>
        </w:numPr>
        <w:jc w:val="left"/>
        <w:rPr>
          <w:lang w:eastAsia="cs-CZ"/>
        </w:rPr>
      </w:pPr>
      <w:r w:rsidRPr="00CB36BF">
        <w:rPr>
          <w:lang w:eastAsia="cs-CZ"/>
        </w:rPr>
        <w:t>Popis stávajícího HW prostředí</w:t>
      </w:r>
      <w:bookmarkStart w:id="0" w:name="_GoBack"/>
      <w:bookmarkEnd w:id="0"/>
    </w:p>
    <w:p w14:paraId="510255FF" w14:textId="77777777" w:rsidR="008B127F" w:rsidRPr="00AA21CE" w:rsidRDefault="008B127F" w:rsidP="008B127F">
      <w:pPr>
        <w:pStyle w:val="Normln-Odstavec"/>
        <w:jc w:val="left"/>
      </w:pPr>
      <w:r w:rsidRPr="00AA21CE">
        <w:t>TC</w:t>
      </w:r>
      <w:r>
        <w:t xml:space="preserve"> ORP</w:t>
      </w:r>
      <w:r w:rsidRPr="00AA21CE">
        <w:t xml:space="preserve"> je technicky i provozně navrženo, vybudováno a provozováno pro poskytování vysoce dostupných infrastrukturních ICT služeb Městu a jeho organizacím.</w:t>
      </w:r>
    </w:p>
    <w:p w14:paraId="79CE55EA" w14:textId="349D71F8" w:rsidR="006501F8" w:rsidRDefault="008B127F" w:rsidP="008B127F">
      <w:pPr>
        <w:pStyle w:val="Normln-Odstavec"/>
      </w:pPr>
      <w:r w:rsidRPr="00AA21CE">
        <w:lastRenderedPageBreak/>
        <w:t>Současná ICT infrastruktura Města je tvořena mixem starších</w:t>
      </w:r>
      <w:r>
        <w:t xml:space="preserve"> průběžně implementovaných technologií a</w:t>
      </w:r>
      <w:r w:rsidRPr="00AA21CE">
        <w:t xml:space="preserve"> </w:t>
      </w:r>
      <w:r>
        <w:t>novějších technologií</w:t>
      </w:r>
      <w:r w:rsidRPr="00AA21CE">
        <w:t xml:space="preserve"> rozšiřující nebo nahrazujících původní technologie z důvodů neopravitelných závad nebo nedostatečného výkonu, impleme</w:t>
      </w:r>
      <w:r>
        <w:t xml:space="preserve">ntovaných převážně v letech 2011 až 2012, kdy došlo k vybudování TC ORP a nasazení moderních </w:t>
      </w:r>
      <w:proofErr w:type="spellStart"/>
      <w:r>
        <w:t>virtualizačních</w:t>
      </w:r>
      <w:proofErr w:type="spellEnd"/>
      <w:r>
        <w:t xml:space="preserve"> technologií.</w:t>
      </w:r>
      <w:r w:rsidRPr="00AA21CE">
        <w:t xml:space="preserve"> Mezi původní technologie patří část síťové infrastruktury</w:t>
      </w:r>
      <w:r>
        <w:t xml:space="preserve">, část serverů, </w:t>
      </w:r>
      <w:r w:rsidRPr="00AA21CE">
        <w:t xml:space="preserve">non-IT technologie (rozvaděče, UPS </w:t>
      </w:r>
      <w:r>
        <w:t xml:space="preserve">klimatizace) </w:t>
      </w:r>
      <w:r w:rsidRPr="00AA21CE">
        <w:t xml:space="preserve">a </w:t>
      </w:r>
      <w:r>
        <w:t>části softwarového</w:t>
      </w:r>
      <w:r w:rsidRPr="00AA21CE">
        <w:t xml:space="preserve"> vybavení. Novější technologie jsou reprezentovány zejména </w:t>
      </w:r>
      <w:proofErr w:type="spellStart"/>
      <w:r>
        <w:t>clusterovým</w:t>
      </w:r>
      <w:proofErr w:type="spellEnd"/>
      <w:r w:rsidRPr="00AA21CE">
        <w:t xml:space="preserve"> diskovým ú</w:t>
      </w:r>
      <w:r>
        <w:t xml:space="preserve">ložištěm na bázi </w:t>
      </w:r>
      <w:proofErr w:type="spellStart"/>
      <w:r>
        <w:t>Falcostor</w:t>
      </w:r>
      <w:proofErr w:type="spellEnd"/>
      <w:r>
        <w:t xml:space="preserve"> </w:t>
      </w:r>
      <w:proofErr w:type="spellStart"/>
      <w:r>
        <w:t>IPStor</w:t>
      </w:r>
      <w:proofErr w:type="spellEnd"/>
      <w:r>
        <w:t xml:space="preserve">, dvěma </w:t>
      </w:r>
      <w:proofErr w:type="spellStart"/>
      <w:r>
        <w:t>virtualizovanými</w:t>
      </w:r>
      <w:proofErr w:type="spellEnd"/>
      <w:r>
        <w:t xml:space="preserve"> servery, </w:t>
      </w:r>
      <w:r w:rsidRPr="00AA21CE">
        <w:t>částí aktivn</w:t>
      </w:r>
      <w:r>
        <w:t>ích prvků síťové infrastruktury a non-IT technologiemi (UPS, motorgenerátor, RMS (</w:t>
      </w:r>
      <w:proofErr w:type="spellStart"/>
      <w:r>
        <w:t>rack</w:t>
      </w:r>
      <w:proofErr w:type="spellEnd"/>
      <w:r>
        <w:t xml:space="preserve"> monitoring systém) a zhášecí systém)</w:t>
      </w:r>
      <w:r w:rsidR="00D04C26">
        <w:t xml:space="preserve"> a zálohovacím řešením </w:t>
      </w:r>
      <w:proofErr w:type="spellStart"/>
      <w:r w:rsidR="00D04C26">
        <w:t>Veeam</w:t>
      </w:r>
      <w:proofErr w:type="spellEnd"/>
      <w:r w:rsidR="00D04C26">
        <w:t xml:space="preserve"> s ukládáním dat na NAS</w:t>
      </w:r>
      <w:r>
        <w:t>.</w:t>
      </w:r>
    </w:p>
    <w:p w14:paraId="33006E62" w14:textId="023BD40F" w:rsidR="006371E2" w:rsidRPr="00AA21CE" w:rsidRDefault="008B127F" w:rsidP="006371E2">
      <w:pPr>
        <w:pStyle w:val="Normln-Odstavec"/>
      </w:pPr>
      <w:r w:rsidRPr="00AA21CE">
        <w:t xml:space="preserve">Hlavní serverová infrastruktura je tvořena 2 ks serverů </w:t>
      </w:r>
      <w:r>
        <w:t>HP DL380 G6</w:t>
      </w:r>
      <w:r w:rsidRPr="00AA21CE">
        <w:t>,</w:t>
      </w:r>
      <w:r>
        <w:t xml:space="preserve"> </w:t>
      </w:r>
      <w:r w:rsidR="00D91F90">
        <w:t>diskovým clusterem sestaveným z</w:t>
      </w:r>
      <w:r>
        <w:t xml:space="preserve"> </w:t>
      </w:r>
      <w:r w:rsidR="006371E2">
        <w:t xml:space="preserve">2 ks HP MSA P2000GR s FC řadiči, </w:t>
      </w:r>
      <w:proofErr w:type="spellStart"/>
      <w:r w:rsidR="006371E2">
        <w:t>virtualizovanými</w:t>
      </w:r>
      <w:proofErr w:type="spellEnd"/>
      <w:r w:rsidR="006371E2">
        <w:t xml:space="preserve"> technologií </w:t>
      </w:r>
      <w:proofErr w:type="spellStart"/>
      <w:r w:rsidR="006371E2">
        <w:t>IPStor</w:t>
      </w:r>
      <w:proofErr w:type="spellEnd"/>
      <w:r w:rsidR="006371E2">
        <w:t xml:space="preserve">. </w:t>
      </w:r>
      <w:r w:rsidR="006371E2" w:rsidRPr="00AA21CE">
        <w:t xml:space="preserve">SAN infrastruktura je na bázi </w:t>
      </w:r>
      <w:r w:rsidR="006371E2">
        <w:t>FC 8</w:t>
      </w:r>
      <w:r w:rsidR="006371E2" w:rsidRPr="00AA21CE">
        <w:t xml:space="preserve"> </w:t>
      </w:r>
      <w:proofErr w:type="spellStart"/>
      <w:r w:rsidR="006371E2" w:rsidRPr="00AA21CE">
        <w:t>Gbit</w:t>
      </w:r>
      <w:proofErr w:type="spellEnd"/>
      <w:r w:rsidR="006371E2" w:rsidRPr="00AA21CE">
        <w:t xml:space="preserve"> </w:t>
      </w:r>
      <w:r w:rsidR="006371E2">
        <w:t>s přímým propojením serverů a diskového clusteru</w:t>
      </w:r>
      <w:r w:rsidR="006371E2" w:rsidRPr="00AA21CE">
        <w:t xml:space="preserve">. </w:t>
      </w:r>
    </w:p>
    <w:p w14:paraId="32977866" w14:textId="77777777" w:rsidR="006371E2" w:rsidRDefault="006371E2" w:rsidP="006371E2">
      <w:pPr>
        <w:pStyle w:val="Normln-Odstavec"/>
      </w:pPr>
      <w:r w:rsidRPr="00AA21CE">
        <w:t xml:space="preserve">Serverová infrastruktura je plně </w:t>
      </w:r>
      <w:proofErr w:type="spellStart"/>
      <w:r w:rsidRPr="00AA21CE">
        <w:t>virtualizována</w:t>
      </w:r>
      <w:proofErr w:type="spellEnd"/>
      <w:r w:rsidRPr="00AA21CE">
        <w:t xml:space="preserve"> technologií </w:t>
      </w:r>
      <w:proofErr w:type="spellStart"/>
      <w:r w:rsidRPr="00AA21CE">
        <w:t>VMware</w:t>
      </w:r>
      <w:proofErr w:type="spellEnd"/>
      <w:r w:rsidRPr="00AA21CE">
        <w:t xml:space="preserve"> </w:t>
      </w:r>
      <w:proofErr w:type="spellStart"/>
      <w:r w:rsidRPr="00AA21CE">
        <w:t>vSphere</w:t>
      </w:r>
      <w:proofErr w:type="spellEnd"/>
      <w:r w:rsidRPr="00AA21CE">
        <w:t>. Jsou využívány pokročilé funkce virtualizační platformy, zejména HA (</w:t>
      </w:r>
      <w:proofErr w:type="spellStart"/>
      <w:r w:rsidRPr="00AA21CE">
        <w:t>high</w:t>
      </w:r>
      <w:proofErr w:type="spellEnd"/>
      <w:r w:rsidRPr="00AA21CE">
        <w:t xml:space="preserve"> </w:t>
      </w:r>
      <w:proofErr w:type="spellStart"/>
      <w:r w:rsidRPr="00AA21CE">
        <w:t>availability</w:t>
      </w:r>
      <w:proofErr w:type="spellEnd"/>
      <w:r w:rsidRPr="00AA21CE">
        <w:t xml:space="preserve">). Zálohování je prováděno </w:t>
      </w:r>
      <w:r>
        <w:t xml:space="preserve">na </w:t>
      </w:r>
      <w:proofErr w:type="spellStart"/>
      <w:r>
        <w:t>Veeam</w:t>
      </w:r>
      <w:proofErr w:type="spellEnd"/>
      <w:r>
        <w:t xml:space="preserve"> </w:t>
      </w:r>
      <w:proofErr w:type="spellStart"/>
      <w:r>
        <w:t>Backup</w:t>
      </w:r>
      <w:proofErr w:type="spellEnd"/>
      <w:r>
        <w:t xml:space="preserve"> a </w:t>
      </w:r>
      <w:proofErr w:type="spellStart"/>
      <w:r>
        <w:t>Recovery</w:t>
      </w:r>
      <w:proofErr w:type="spellEnd"/>
      <w:r>
        <w:t xml:space="preserve">, </w:t>
      </w:r>
      <w:r w:rsidRPr="00AA21CE">
        <w:t xml:space="preserve">zálohy jsou ukládány na vyhrazený </w:t>
      </w:r>
      <w:r>
        <w:t>NAS.</w:t>
      </w:r>
    </w:p>
    <w:p w14:paraId="77F2AFE0" w14:textId="77777777" w:rsidR="006371E2" w:rsidRPr="00AA21CE" w:rsidRDefault="006371E2" w:rsidP="006371E2">
      <w:pPr>
        <w:pStyle w:val="Normln-Odstavec"/>
      </w:pPr>
      <w:r>
        <w:t xml:space="preserve">Diskové úložiště je koncipováno jako vysoce dostupné (tzv. </w:t>
      </w:r>
      <w:proofErr w:type="spellStart"/>
      <w:r>
        <w:t>storage</w:t>
      </w:r>
      <w:proofErr w:type="spellEnd"/>
      <w:r>
        <w:t xml:space="preserve"> cluster) se zrcadlením dat a automatickým překlenutím výpadku </w:t>
      </w:r>
      <w:r w:rsidRPr="000D60E0">
        <w:t>jednou uzlu.</w:t>
      </w:r>
    </w:p>
    <w:p w14:paraId="345227E0" w14:textId="77777777" w:rsidR="006371E2" w:rsidRPr="002B260A" w:rsidRDefault="006371E2" w:rsidP="006371E2">
      <w:pPr>
        <w:pStyle w:val="Normln-Odstavec"/>
        <w:rPr>
          <w:lang w:val="x-none"/>
        </w:rPr>
      </w:pPr>
      <w:r w:rsidRPr="00AA21CE">
        <w:t xml:space="preserve">Síťová infrastruktura </w:t>
      </w:r>
      <w:r>
        <w:t xml:space="preserve">TC (CORE vrstva LAN) </w:t>
      </w:r>
      <w:r w:rsidRPr="00AA21CE">
        <w:t xml:space="preserve">je tvořena </w:t>
      </w:r>
      <w:r>
        <w:t>stohem 2ks HP 3500 s rozšířenými funkcemi (licence) pro vytvoření vysoce dostupné IP brány.</w:t>
      </w:r>
    </w:p>
    <w:p w14:paraId="4ED08DD2" w14:textId="77777777" w:rsidR="006371E2" w:rsidRPr="00AA21CE" w:rsidRDefault="006371E2" w:rsidP="006371E2">
      <w:pPr>
        <w:pStyle w:val="Normln-Odstavec"/>
      </w:pPr>
      <w:r>
        <w:t xml:space="preserve">Lokality MÚ jsou propojeny optickými vlákny typu single mode. Rychlost komunikace je v současné době 2x 1 </w:t>
      </w:r>
      <w:proofErr w:type="spellStart"/>
      <w:r>
        <w:t>Gb</w:t>
      </w:r>
      <w:proofErr w:type="spellEnd"/>
      <w:r>
        <w:t>, tato rychlost není dostatečná pro nasazení dalších technologií</w:t>
      </w:r>
    </w:p>
    <w:p w14:paraId="0281AED1" w14:textId="30056FB9" w:rsidR="008B127F" w:rsidRDefault="008B127F" w:rsidP="008B127F">
      <w:pPr>
        <w:pStyle w:val="Normln-Odstavec"/>
      </w:pPr>
      <w:r>
        <w:t xml:space="preserve"> </w:t>
      </w:r>
      <w:r w:rsidR="006371E2">
        <w:t>Město buduje optickou síť MAN (metropolitan area network), jejím cílem je propojení příspěvkových organizací města a dalších organizací veřejné a stání správy.</w:t>
      </w:r>
    </w:p>
    <w:p w14:paraId="5B9BE931" w14:textId="58365EF9" w:rsidR="006371E2" w:rsidRDefault="006371E2" w:rsidP="008B127F">
      <w:pPr>
        <w:pStyle w:val="Normln-Odstavec"/>
      </w:pPr>
      <w:r>
        <w:t xml:space="preserve">Město je napojeno na RKI (regionální komunikační infrastrukturu) Karlovarského kraje, které propojuje hlavní krajské organizace </w:t>
      </w:r>
      <w:r w:rsidR="00D91F90">
        <w:t xml:space="preserve">(Nemocnice, Správa silnic apod.) </w:t>
      </w:r>
      <w:r>
        <w:t xml:space="preserve">a </w:t>
      </w:r>
      <w:r w:rsidR="00D91F90">
        <w:t>MÚ ORP (obcí s rozšířenou působností) v kraji. RKI je dále napojena na internet a rezortní sítě (KIVS). RKI je postupně propojována s budovanými městskými sítěmi MAN.</w:t>
      </w:r>
    </w:p>
    <w:p w14:paraId="79946365" w14:textId="650BE175" w:rsidR="00D91F90" w:rsidRPr="00BD605E" w:rsidRDefault="00D91F90" w:rsidP="008B127F">
      <w:pPr>
        <w:pStyle w:val="Normln-Odstavec"/>
      </w:pPr>
      <w:r>
        <w:t>TC ORP je napojeno na RKI, v rámci tohoto projektu bude připojeno do MAN MÚ Cheb.</w:t>
      </w:r>
    </w:p>
    <w:p w14:paraId="7BC2E3F8" w14:textId="6FE81873" w:rsidR="006501F8" w:rsidRPr="00BD605E" w:rsidRDefault="00C83D7C" w:rsidP="0013119D">
      <w:pPr>
        <w:pStyle w:val="Normln-Odstavec"/>
      </w:pPr>
      <w:r>
        <w:t>Není využívána</w:t>
      </w:r>
      <w:r w:rsidR="00BD605E" w:rsidRPr="00BD605E">
        <w:t xml:space="preserve"> klientská (aplikační) virtualizace</w:t>
      </w:r>
      <w:r>
        <w:t>.</w:t>
      </w:r>
    </w:p>
    <w:p w14:paraId="5AC0DFFE" w14:textId="76F40A05" w:rsidR="006501F8" w:rsidRDefault="006501F8" w:rsidP="006501F8">
      <w:pPr>
        <w:pStyle w:val="Normln-Odstavec"/>
      </w:pPr>
      <w:r w:rsidRPr="00BD605E">
        <w:t xml:space="preserve">Síťová infrastruktura je tvořena převážně přepínači </w:t>
      </w:r>
      <w:r w:rsidR="00D91F90">
        <w:t xml:space="preserve">Cisco, 3Com, </w:t>
      </w:r>
      <w:proofErr w:type="spellStart"/>
      <w:r w:rsidR="00D91F90">
        <w:t>Allied</w:t>
      </w:r>
      <w:proofErr w:type="spellEnd"/>
      <w:r w:rsidR="00D91F90">
        <w:t xml:space="preserve"> </w:t>
      </w:r>
      <w:proofErr w:type="spellStart"/>
      <w:r w:rsidR="00D91F90">
        <w:t>Telesyn</w:t>
      </w:r>
      <w:proofErr w:type="spellEnd"/>
      <w:r w:rsidR="00D91F90">
        <w:t xml:space="preserve"> nižších řad</w:t>
      </w:r>
      <w:r w:rsidR="00BD605E" w:rsidRPr="00BD605E">
        <w:t xml:space="preserve">, </w:t>
      </w:r>
      <w:r w:rsidR="00D91F90">
        <w:t xml:space="preserve">omezeně jsou </w:t>
      </w:r>
      <w:r w:rsidR="00BD605E" w:rsidRPr="00BD605E">
        <w:t>implementovány pokroč</w:t>
      </w:r>
      <w:r w:rsidR="002B2116">
        <w:t>ilé technologie typu VLAN apod.</w:t>
      </w:r>
      <w:r w:rsidR="00BD605E" w:rsidRPr="00BD605E">
        <w:t xml:space="preserve"> Serverová konektivita je 1 </w:t>
      </w:r>
      <w:proofErr w:type="spellStart"/>
      <w:r w:rsidR="00BD605E" w:rsidRPr="00BD605E">
        <w:t>Gb</w:t>
      </w:r>
      <w:proofErr w:type="spellEnd"/>
      <w:r w:rsidR="00BD605E" w:rsidRPr="00BD605E">
        <w:t xml:space="preserve">, stanice převážně 100 </w:t>
      </w:r>
      <w:proofErr w:type="spellStart"/>
      <w:r w:rsidR="00BD605E" w:rsidRPr="00BD605E">
        <w:t>Mbit</w:t>
      </w:r>
      <w:proofErr w:type="spellEnd"/>
      <w:r w:rsidR="00BD605E" w:rsidRPr="00BD605E">
        <w:t>.</w:t>
      </w:r>
      <w:r w:rsidRPr="00BD605E">
        <w:t xml:space="preserve"> </w:t>
      </w:r>
    </w:p>
    <w:p w14:paraId="11E588A4" w14:textId="6EBE82EB" w:rsidR="006501F8" w:rsidRPr="00BD605E" w:rsidRDefault="006501F8" w:rsidP="006501F8">
      <w:pPr>
        <w:pStyle w:val="Normln-Odstavec"/>
      </w:pPr>
      <w:r w:rsidRPr="00BD605E">
        <w:t>Zabezpečen</w:t>
      </w:r>
      <w:r w:rsidR="000A66E0" w:rsidRPr="00BD605E">
        <w:t xml:space="preserve">í přístupu k Internetu využívá </w:t>
      </w:r>
      <w:r w:rsidR="00BD605E" w:rsidRPr="00BD605E">
        <w:t xml:space="preserve">softwarového firewallu na bázi </w:t>
      </w:r>
      <w:proofErr w:type="spellStart"/>
      <w:r w:rsidR="00D91F90">
        <w:t>Kerio</w:t>
      </w:r>
      <w:proofErr w:type="spellEnd"/>
      <w:r w:rsidR="00D91F90">
        <w:t xml:space="preserve"> </w:t>
      </w:r>
      <w:proofErr w:type="spellStart"/>
      <w:r w:rsidR="00D91F90">
        <w:t>Control</w:t>
      </w:r>
      <w:proofErr w:type="spellEnd"/>
      <w:r w:rsidR="00D91F90">
        <w:t xml:space="preserve"> a HW firewall na bázi Cisco ASA. Výkon a funkcionalita není dostatečná pro nasazení dalších technologií a zejména řízení provozu mezi TC ORP a PO</w:t>
      </w:r>
    </w:p>
    <w:p w14:paraId="2DB7C23D" w14:textId="01093F2B" w:rsidR="006501F8" w:rsidRPr="00FB26D6" w:rsidRDefault="006501F8" w:rsidP="005E4E77">
      <w:pPr>
        <w:pStyle w:val="Normln-Odstavec"/>
      </w:pPr>
      <w:r w:rsidRPr="00FB26D6">
        <w:t xml:space="preserve">Město </w:t>
      </w:r>
      <w:r w:rsidR="00FB26D6" w:rsidRPr="00FB26D6">
        <w:t>nem</w:t>
      </w:r>
      <w:r w:rsidRPr="00FB26D6">
        <w:t xml:space="preserve">á implementovánu adresářovou službu </w:t>
      </w:r>
      <w:proofErr w:type="spellStart"/>
      <w:r w:rsidRPr="00FB26D6">
        <w:t>Active</w:t>
      </w:r>
      <w:proofErr w:type="spellEnd"/>
      <w:r w:rsidRPr="00FB26D6">
        <w:t xml:space="preserve"> </w:t>
      </w:r>
      <w:proofErr w:type="spellStart"/>
      <w:r w:rsidRPr="00FB26D6">
        <w:t>Directory</w:t>
      </w:r>
      <w:proofErr w:type="spellEnd"/>
      <w:r w:rsidRPr="00FB26D6">
        <w:t xml:space="preserve">. Jmenné a adresní síťové služby (DNS a DHCP) jsou využívány nativní ve </w:t>
      </w:r>
      <w:r w:rsidR="005E4E77" w:rsidRPr="00FB26D6">
        <w:t>Windows Server</w:t>
      </w:r>
      <w:r w:rsidRPr="00FB26D6">
        <w:t>.</w:t>
      </w:r>
    </w:p>
    <w:p w14:paraId="7F2638DF" w14:textId="02802FB7" w:rsidR="00FF6B3C" w:rsidRPr="00FB26D6" w:rsidRDefault="00FF6B3C" w:rsidP="00FF6B3C">
      <w:pPr>
        <w:pStyle w:val="Normln-Odstavec"/>
      </w:pPr>
      <w:r w:rsidRPr="00FB26D6">
        <w:t xml:space="preserve">Koncové stanice (počítače) jsou různého stáří </w:t>
      </w:r>
      <w:r w:rsidR="00D91F90">
        <w:t>(cca. 8-1</w:t>
      </w:r>
      <w:r w:rsidRPr="00FB26D6">
        <w:t xml:space="preserve"> </w:t>
      </w:r>
      <w:r w:rsidR="00D91F90">
        <w:t>rok</w:t>
      </w:r>
      <w:r w:rsidRPr="00FB26D6">
        <w:t xml:space="preserve">), </w:t>
      </w:r>
      <w:r w:rsidR="00FB26D6" w:rsidRPr="00FB26D6">
        <w:t>pocházejí od různých výrobců</w:t>
      </w:r>
      <w:r w:rsidR="002B2116">
        <w:t>,</w:t>
      </w:r>
      <w:r w:rsidR="00FB26D6" w:rsidRPr="00FB26D6">
        <w:t xml:space="preserve"> </w:t>
      </w:r>
      <w:r w:rsidRPr="00FB26D6">
        <w:t xml:space="preserve">provozovanými operačními systémy jsou Windows XP a </w:t>
      </w:r>
      <w:r w:rsidR="00FB26D6" w:rsidRPr="00FB26D6">
        <w:t>7</w:t>
      </w:r>
      <w:r w:rsidRPr="00FB26D6">
        <w:t xml:space="preserve"> v poměru cca. 50%:50%. </w:t>
      </w:r>
      <w:r w:rsidR="002D254D" w:rsidRPr="002D254D">
        <w:t>Stávající pracovní stanice jsou ve stavu, který umožňuje provoz terminálových klientů</w:t>
      </w:r>
    </w:p>
    <w:p w14:paraId="7860CADB" w14:textId="59BFE98C" w:rsidR="00FF6B3C" w:rsidRPr="00FB26D6" w:rsidRDefault="00FF6B3C" w:rsidP="00FF6B3C">
      <w:pPr>
        <w:pStyle w:val="Normln-Odstavec"/>
      </w:pPr>
      <w:r w:rsidRPr="00FB26D6">
        <w:t xml:space="preserve">Tiskové prostředí je tvořeno lokálními tiskárnami </w:t>
      </w:r>
      <w:r w:rsidR="00D91F90">
        <w:t>a multifunkčními tiskárnami A3</w:t>
      </w:r>
      <w:r w:rsidRPr="00FB26D6">
        <w:t>.</w:t>
      </w:r>
    </w:p>
    <w:p w14:paraId="019A421F" w14:textId="77777777" w:rsidR="00F07BC0" w:rsidRPr="00F35265" w:rsidRDefault="00F07BC0" w:rsidP="00434EE4">
      <w:pPr>
        <w:pStyle w:val="Nadpis3"/>
        <w:numPr>
          <w:ilvl w:val="2"/>
          <w:numId w:val="2"/>
        </w:numPr>
        <w:jc w:val="left"/>
        <w:rPr>
          <w:lang w:eastAsia="cs-CZ"/>
        </w:rPr>
      </w:pPr>
      <w:bookmarkStart w:id="1" w:name="_Ref365987645"/>
      <w:r w:rsidRPr="00F35265">
        <w:rPr>
          <w:lang w:eastAsia="cs-CZ"/>
        </w:rPr>
        <w:t>Popis stávajícího SW prostředí</w:t>
      </w:r>
      <w:bookmarkEnd w:id="1"/>
    </w:p>
    <w:p w14:paraId="15E75956" w14:textId="7A9C6E30" w:rsidR="00D46718" w:rsidRPr="00F35265" w:rsidRDefault="005E4E77" w:rsidP="00C24C24">
      <w:pPr>
        <w:pStyle w:val="Normln-Odstavec"/>
        <w:jc w:val="left"/>
      </w:pPr>
      <w:r w:rsidRPr="00F35265">
        <w:t xml:space="preserve">Systémové služby </w:t>
      </w:r>
      <w:r w:rsidR="00C65559" w:rsidRPr="00F35265">
        <w:t>TC</w:t>
      </w:r>
      <w:r w:rsidR="00D46718" w:rsidRPr="00F35265">
        <w:t xml:space="preserve"> </w:t>
      </w:r>
      <w:r w:rsidR="00D91F90">
        <w:t xml:space="preserve">ORP </w:t>
      </w:r>
      <w:r w:rsidR="00D46718" w:rsidRPr="00F35265">
        <w:t>jsou provozovány na platformě Microsoft</w:t>
      </w:r>
      <w:r w:rsidR="0039550F">
        <w:t xml:space="preserve"> Windows</w:t>
      </w:r>
      <w:r w:rsidR="00F35265">
        <w:t>.</w:t>
      </w:r>
    </w:p>
    <w:p w14:paraId="65F744F7" w14:textId="77777777" w:rsidR="00794830" w:rsidRPr="00F35265" w:rsidRDefault="00794830" w:rsidP="00C24C24">
      <w:pPr>
        <w:pStyle w:val="Normln-Odstavec"/>
        <w:jc w:val="left"/>
      </w:pPr>
      <w:r w:rsidRPr="00F35265">
        <w:lastRenderedPageBreak/>
        <w:t xml:space="preserve">Primární adresářovou službou je </w:t>
      </w:r>
      <w:proofErr w:type="spellStart"/>
      <w:r w:rsidRPr="00F35265">
        <w:t>Active</w:t>
      </w:r>
      <w:proofErr w:type="spellEnd"/>
      <w:r w:rsidRPr="00F35265">
        <w:t xml:space="preserve"> </w:t>
      </w:r>
      <w:proofErr w:type="spellStart"/>
      <w:r w:rsidRPr="00F35265">
        <w:t>Directory</w:t>
      </w:r>
      <w:proofErr w:type="spellEnd"/>
      <w:r w:rsidRPr="00F35265">
        <w:t xml:space="preserve"> provozovaná na redundantních replikovaných řadičích, které zajištují také služby DNS a DHCP.</w:t>
      </w:r>
    </w:p>
    <w:p w14:paraId="5A1D9CA8" w14:textId="1A1B5D2E" w:rsidR="00D46718" w:rsidRPr="00F35265" w:rsidRDefault="00D46718" w:rsidP="00C24C24">
      <w:pPr>
        <w:pStyle w:val="Normln-Odstavec"/>
        <w:jc w:val="left"/>
      </w:pPr>
      <w:r w:rsidRPr="00F35265">
        <w:t xml:space="preserve">Standardním kancelářským balíkem využívaným pro potřeby </w:t>
      </w:r>
      <w:r w:rsidR="00C60E7B" w:rsidRPr="00F35265">
        <w:t>Města</w:t>
      </w:r>
      <w:r w:rsidRPr="00F35265">
        <w:t xml:space="preserve"> je Microsoft Office, </w:t>
      </w:r>
      <w:r w:rsidR="00FB26D6" w:rsidRPr="00F35265">
        <w:t>převážně</w:t>
      </w:r>
      <w:r w:rsidRPr="00F35265">
        <w:t xml:space="preserve"> ve verzi 2007 a vyšší. Standardně jsou využívány aplikace Word, Excel, Outlook a OneNote. </w:t>
      </w:r>
    </w:p>
    <w:p w14:paraId="703D3E18" w14:textId="77777777" w:rsidR="002D254D" w:rsidRDefault="00794830" w:rsidP="00DD1F50">
      <w:pPr>
        <w:pStyle w:val="Normln-Odstavec"/>
        <w:jc w:val="left"/>
      </w:pPr>
      <w:r w:rsidRPr="00F35265">
        <w:t xml:space="preserve">K ukládání sdílených souborů je </w:t>
      </w:r>
      <w:r w:rsidR="00FB26D6" w:rsidRPr="00F35265">
        <w:t>využíváno</w:t>
      </w:r>
      <w:r w:rsidRPr="00F35265">
        <w:t xml:space="preserve"> prostředků Windows serveru</w:t>
      </w:r>
      <w:r w:rsidR="00C60E7B" w:rsidRPr="00F35265">
        <w:t>.</w:t>
      </w:r>
      <w:r w:rsidRPr="00F35265">
        <w:t xml:space="preserve"> </w:t>
      </w:r>
    </w:p>
    <w:p w14:paraId="3A2C6668" w14:textId="4FE8377D" w:rsidR="00C83D7C" w:rsidRDefault="002D254D" w:rsidP="00C83D7C">
      <w:pPr>
        <w:pStyle w:val="Normln-Odstavec"/>
        <w:jc w:val="left"/>
      </w:pPr>
      <w:r>
        <w:t xml:space="preserve">V rámci </w:t>
      </w:r>
      <w:proofErr w:type="spellStart"/>
      <w:r>
        <w:t>agendových</w:t>
      </w:r>
      <w:proofErr w:type="spellEnd"/>
      <w:r>
        <w:t xml:space="preserve"> systémů je pro</w:t>
      </w:r>
      <w:r w:rsidR="00DD1F50">
        <w:t xml:space="preserve"> ukládání dat využívána databáze Microsoft SQL Server</w:t>
      </w:r>
      <w:r>
        <w:t>.</w:t>
      </w:r>
    </w:p>
    <w:p w14:paraId="1AA58C6E" w14:textId="6F93B663" w:rsidR="00C83D7C" w:rsidRDefault="00C83D7C" w:rsidP="00C83D7C">
      <w:pPr>
        <w:pStyle w:val="Normln-Odstavec"/>
        <w:jc w:val="left"/>
      </w:pPr>
      <w:r>
        <w:t xml:space="preserve">MÚ využívá Portál úředníka na technologii MS </w:t>
      </w:r>
      <w:proofErr w:type="spellStart"/>
      <w:r>
        <w:t>Sharepoint</w:t>
      </w:r>
      <w:proofErr w:type="spellEnd"/>
      <w:r>
        <w:t xml:space="preserve"> vybudovaným v rámci projektů Výzvy IOP č. 06. </w:t>
      </w:r>
    </w:p>
    <w:p w14:paraId="374FD69E" w14:textId="6CF6CA40" w:rsidR="00C83D7C" w:rsidRDefault="00C83D7C" w:rsidP="00C83D7C">
      <w:pPr>
        <w:pStyle w:val="Normln-Odstavec"/>
        <w:jc w:val="left"/>
      </w:pPr>
      <w:r>
        <w:t xml:space="preserve">Pro řízení identit je využíván systém EOS (Evidence organizační struktury) společnosti </w:t>
      </w:r>
      <w:proofErr w:type="spellStart"/>
      <w:r>
        <w:t>Marbes</w:t>
      </w:r>
      <w:proofErr w:type="spellEnd"/>
      <w:r>
        <w:t xml:space="preserve"> </w:t>
      </w:r>
      <w:proofErr w:type="spellStart"/>
      <w:r>
        <w:t>Consulting</w:t>
      </w:r>
      <w:proofErr w:type="spellEnd"/>
      <w:r>
        <w:t>. Systém je integrován s Portálem úředníka. Systém byl vybudován vybudovaným v rámci projektů Výzvy IOP č. 06.</w:t>
      </w:r>
    </w:p>
    <w:p w14:paraId="290518EA" w14:textId="0E8FB556" w:rsidR="006503B8" w:rsidRPr="00D91F90" w:rsidRDefault="00C83D7C" w:rsidP="00DD1F50">
      <w:pPr>
        <w:pStyle w:val="Normln-Odstavec"/>
        <w:jc w:val="left"/>
      </w:pPr>
      <w:r>
        <w:t xml:space="preserve">Hlavními informačními </w:t>
      </w:r>
      <w:r w:rsidR="00D91F90">
        <w:t>systémy města</w:t>
      </w:r>
      <w:r>
        <w:t xml:space="preserve"> jsou GINIS a spisová služba (výrobce </w:t>
      </w:r>
      <w:proofErr w:type="spellStart"/>
      <w:r>
        <w:t>Gordic</w:t>
      </w:r>
      <w:proofErr w:type="spellEnd"/>
      <w:r>
        <w:t>), dále drobnější systémy menších agend.</w:t>
      </w:r>
    </w:p>
    <w:p w14:paraId="5FFD9F65" w14:textId="77777777" w:rsidR="00F07BC0" w:rsidRPr="00FB26D6" w:rsidRDefault="00F07BC0" w:rsidP="00434EE4">
      <w:pPr>
        <w:pStyle w:val="Nadpis3"/>
        <w:numPr>
          <w:ilvl w:val="2"/>
          <w:numId w:val="2"/>
        </w:numPr>
        <w:jc w:val="left"/>
        <w:rPr>
          <w:lang w:eastAsia="cs-CZ"/>
        </w:rPr>
      </w:pPr>
      <w:r w:rsidRPr="00FB26D6">
        <w:rPr>
          <w:lang w:eastAsia="cs-CZ"/>
        </w:rPr>
        <w:t>Popis dokumentace</w:t>
      </w:r>
    </w:p>
    <w:p w14:paraId="1FD8D63C" w14:textId="4266D98E" w:rsidR="0013119D" w:rsidRPr="00FB26D6" w:rsidRDefault="0013119D" w:rsidP="0013119D">
      <w:pPr>
        <w:pStyle w:val="Normln-Odstavec"/>
        <w:jc w:val="left"/>
      </w:pPr>
      <w:r w:rsidRPr="00FB26D6">
        <w:t xml:space="preserve">K provozování a řízení rozvoje </w:t>
      </w:r>
      <w:r w:rsidR="009D745C">
        <w:t>TC ORP</w:t>
      </w:r>
      <w:r w:rsidR="00FB26D6" w:rsidRPr="00FB26D6">
        <w:t xml:space="preserve"> technologií</w:t>
      </w:r>
      <w:r w:rsidRPr="00FB26D6">
        <w:t xml:space="preserve"> je využívána a</w:t>
      </w:r>
      <w:r w:rsidR="00FB26D6" w:rsidRPr="00FB26D6">
        <w:t xml:space="preserve"> udržována Provozní dokumentace</w:t>
      </w:r>
      <w:r w:rsidR="009E68DA">
        <w:t>, obsahující popisy konfigurací infrastrukturních a systémových technologií</w:t>
      </w:r>
      <w:r w:rsidR="00FB26D6" w:rsidRPr="00FB26D6">
        <w:t>.</w:t>
      </w:r>
      <w:r w:rsidRPr="00FB26D6">
        <w:t xml:space="preserve"> </w:t>
      </w:r>
    </w:p>
    <w:p w14:paraId="7039AB86" w14:textId="77777777" w:rsidR="0013119D" w:rsidRPr="00FB26D6" w:rsidRDefault="0013119D" w:rsidP="0013119D">
      <w:pPr>
        <w:pStyle w:val="Normln-Odstavec"/>
        <w:jc w:val="left"/>
      </w:pPr>
      <w:r w:rsidRPr="00FB26D6">
        <w:t>Citlivé údaje (přístupové účty apod.) jsou součástí Bezpečnostní dokumentace a jsou uloženy odděleně od Provozních dokumentací</w:t>
      </w:r>
    </w:p>
    <w:p w14:paraId="6F7626B1" w14:textId="397351C7" w:rsidR="0013119D" w:rsidRPr="00FB26D6" w:rsidRDefault="0013119D" w:rsidP="0013119D">
      <w:pPr>
        <w:pStyle w:val="Normln-Odstavec"/>
      </w:pPr>
      <w:r w:rsidRPr="00FB26D6">
        <w:t>Relevantní části dokumen</w:t>
      </w:r>
      <w:r w:rsidR="00AB6223" w:rsidRPr="00FB26D6">
        <w:t>tace budou Uchazeči zpřístupněny</w:t>
      </w:r>
      <w:r w:rsidRPr="00FB26D6">
        <w:t xml:space="preserve"> až po podpisu Smlouvy o dílo k této zakázce.</w:t>
      </w:r>
    </w:p>
    <w:p w14:paraId="22B74D9D" w14:textId="7D9A11B3" w:rsidR="0013119D" w:rsidRPr="00FB26D6" w:rsidRDefault="0013119D" w:rsidP="0013119D">
      <w:pPr>
        <w:pStyle w:val="Normln-Odstavec"/>
        <w:jc w:val="left"/>
      </w:pPr>
      <w:r w:rsidRPr="00FB26D6">
        <w:t xml:space="preserve">Uchazeč je povinen zajistit nezbytné doplnění </w:t>
      </w:r>
      <w:r w:rsidR="00FB26D6" w:rsidRPr="00FB26D6">
        <w:t xml:space="preserve">Provozní </w:t>
      </w:r>
      <w:r w:rsidRPr="00FB26D6">
        <w:t>dokumentace reflektující provedené změny.</w:t>
      </w:r>
    </w:p>
    <w:p w14:paraId="6D293681" w14:textId="77777777" w:rsidR="00F07BC0" w:rsidRPr="00FB26D6" w:rsidRDefault="00F07BC0" w:rsidP="00434EE4">
      <w:pPr>
        <w:pStyle w:val="Nadpis3"/>
        <w:numPr>
          <w:ilvl w:val="2"/>
          <w:numId w:val="2"/>
        </w:numPr>
        <w:jc w:val="left"/>
        <w:rPr>
          <w:lang w:eastAsia="cs-CZ"/>
        </w:rPr>
      </w:pPr>
      <w:r w:rsidRPr="00FB26D6">
        <w:rPr>
          <w:lang w:eastAsia="cs-CZ"/>
        </w:rPr>
        <w:t>Popis způsobu řešení incidentů</w:t>
      </w:r>
    </w:p>
    <w:p w14:paraId="611CF516" w14:textId="56A12876" w:rsidR="00A26E77" w:rsidRPr="00FB26D6" w:rsidRDefault="00A26E77" w:rsidP="00434EE4">
      <w:pPr>
        <w:pStyle w:val="Normln-Odstavec"/>
        <w:numPr>
          <w:ilvl w:val="3"/>
          <w:numId w:val="2"/>
        </w:numPr>
        <w:jc w:val="left"/>
      </w:pPr>
      <w:r w:rsidRPr="00FB26D6">
        <w:t xml:space="preserve">Zadavatel pro řešení incidentů a podporu uživatelů </w:t>
      </w:r>
      <w:r w:rsidR="00FB26D6" w:rsidRPr="00FB26D6">
        <w:t>ne</w:t>
      </w:r>
      <w:r w:rsidRPr="00FB26D6">
        <w:t>vy</w:t>
      </w:r>
      <w:r w:rsidR="00FB26D6" w:rsidRPr="00FB26D6">
        <w:t xml:space="preserve">užívá systém typu </w:t>
      </w:r>
      <w:proofErr w:type="spellStart"/>
      <w:r w:rsidR="00FB26D6" w:rsidRPr="00FB26D6">
        <w:t>Helpdesk</w:t>
      </w:r>
      <w:proofErr w:type="spellEnd"/>
      <w:r w:rsidRPr="00FB26D6">
        <w:t>.</w:t>
      </w:r>
    </w:p>
    <w:p w14:paraId="2EF34182" w14:textId="77777777" w:rsidR="00A26E77" w:rsidRPr="00FB26D6" w:rsidRDefault="00A26E77" w:rsidP="00434EE4">
      <w:pPr>
        <w:pStyle w:val="Normln-Odstavec"/>
        <w:numPr>
          <w:ilvl w:val="3"/>
          <w:numId w:val="2"/>
        </w:numPr>
        <w:jc w:val="left"/>
      </w:pPr>
      <w:r w:rsidRPr="00FB26D6">
        <w:t>Zadavatel také zajišťuje podporu 1. úrovně a většinu běžných problémů jsou schopni vyřešit interní pracovníci Zadavatele.</w:t>
      </w:r>
    </w:p>
    <w:p w14:paraId="4524DD03" w14:textId="6F335E80" w:rsidR="00A26E77" w:rsidRPr="00FB26D6" w:rsidRDefault="00A26E77" w:rsidP="00434EE4">
      <w:pPr>
        <w:pStyle w:val="Normln-Odstavec"/>
        <w:numPr>
          <w:ilvl w:val="3"/>
          <w:numId w:val="2"/>
        </w:numPr>
        <w:jc w:val="left"/>
      </w:pPr>
      <w:r w:rsidRPr="00FB26D6">
        <w:t xml:space="preserve">Incidenty a požadavky, které nevyřeší interní </w:t>
      </w:r>
      <w:r w:rsidR="002B2116">
        <w:t>zaměst</w:t>
      </w:r>
      <w:r w:rsidR="00FB26D6" w:rsidRPr="00FB26D6">
        <w:t>nanci</w:t>
      </w:r>
      <w:r w:rsidRPr="00FB26D6">
        <w:t xml:space="preserve">, jsou předávány do </w:t>
      </w:r>
      <w:proofErr w:type="spellStart"/>
      <w:r w:rsidRPr="00FB26D6">
        <w:t>helpdeskov</w:t>
      </w:r>
      <w:r w:rsidR="00FB26D6" w:rsidRPr="00FB26D6">
        <w:t>ého</w:t>
      </w:r>
      <w:proofErr w:type="spellEnd"/>
      <w:r w:rsidRPr="00FB26D6">
        <w:t xml:space="preserve"> sys</w:t>
      </w:r>
      <w:r w:rsidR="00FB26D6" w:rsidRPr="00FB26D6">
        <w:t>tému dodavatele</w:t>
      </w:r>
      <w:r w:rsidRPr="00FB26D6">
        <w:t xml:space="preserve"> systému, který vykazuje incident nebo na který směřuje požadavek uživatele. Hlášení incidentů a požadavků je prováděno telefonicky, emailem nebo přímo zadáním </w:t>
      </w:r>
      <w:proofErr w:type="spellStart"/>
      <w:r w:rsidRPr="00FB26D6">
        <w:t>ticketu</w:t>
      </w:r>
      <w:proofErr w:type="spellEnd"/>
      <w:r w:rsidRPr="00FB26D6">
        <w:t xml:space="preserve">/požadavku do </w:t>
      </w:r>
      <w:proofErr w:type="spellStart"/>
      <w:r w:rsidRPr="00FB26D6">
        <w:t>helpdeskového</w:t>
      </w:r>
      <w:proofErr w:type="spellEnd"/>
      <w:r w:rsidRPr="00FB26D6">
        <w:t xml:space="preserve"> systému dodavatele.</w:t>
      </w:r>
    </w:p>
    <w:p w14:paraId="323F8C30" w14:textId="77777777" w:rsidR="00F07BC0" w:rsidRPr="00FB26D6" w:rsidRDefault="00F07BC0" w:rsidP="00434EE4">
      <w:pPr>
        <w:pStyle w:val="Nadpis3"/>
        <w:numPr>
          <w:ilvl w:val="2"/>
          <w:numId w:val="2"/>
        </w:numPr>
        <w:jc w:val="left"/>
        <w:rPr>
          <w:lang w:eastAsia="cs-CZ"/>
        </w:rPr>
      </w:pPr>
      <w:r w:rsidRPr="00FB26D6">
        <w:rPr>
          <w:lang w:eastAsia="cs-CZ"/>
        </w:rPr>
        <w:t>Popis servisních oken</w:t>
      </w:r>
    </w:p>
    <w:p w14:paraId="4AF1EDF2" w14:textId="4F2D43EE" w:rsidR="0013119D" w:rsidRDefault="00FB26D6" w:rsidP="0013119D">
      <w:pPr>
        <w:pStyle w:val="Normln-Odstavec"/>
        <w:jc w:val="left"/>
      </w:pPr>
      <w:r w:rsidRPr="00FB26D6">
        <w:t>Zadavatel</w:t>
      </w:r>
      <w:r w:rsidR="0013119D" w:rsidRPr="00FB26D6">
        <w:t xml:space="preserve"> nemá pevně definovaná pravidelná servisní okna. Aplikace </w:t>
      </w:r>
      <w:r w:rsidRPr="00FB26D6">
        <w:t xml:space="preserve">aktualizací a oprav </w:t>
      </w:r>
      <w:r w:rsidR="0013119D" w:rsidRPr="00FB26D6">
        <w:t xml:space="preserve">serverů </w:t>
      </w:r>
      <w:r w:rsidRPr="00FB26D6">
        <w:t xml:space="preserve">a aplikací </w:t>
      </w:r>
      <w:r w:rsidR="0013119D" w:rsidRPr="00FB26D6">
        <w:t>provádějí specialisté Města dle potřeby a s přihlédnutím k minimalizaci omezení uživatelů.</w:t>
      </w:r>
    </w:p>
    <w:p w14:paraId="7DCEE2B0" w14:textId="77777777" w:rsidR="00533A37" w:rsidRPr="00FB26D6" w:rsidRDefault="00533A37" w:rsidP="00533A37">
      <w:pPr>
        <w:pStyle w:val="Normln-Odstavec"/>
        <w:numPr>
          <w:ilvl w:val="0"/>
          <w:numId w:val="0"/>
        </w:numPr>
        <w:jc w:val="left"/>
      </w:pPr>
    </w:p>
    <w:p w14:paraId="2CEAFEBE" w14:textId="77777777" w:rsidR="004F2B7F" w:rsidRDefault="004F2B7F">
      <w:pPr>
        <w:spacing w:after="0"/>
        <w:jc w:val="left"/>
        <w:rPr>
          <w:rFonts w:ascii="Arial" w:hAnsi="Arial"/>
          <w:b/>
          <w:bCs/>
          <w:i/>
          <w:iCs/>
          <w:sz w:val="28"/>
          <w:szCs w:val="28"/>
        </w:rPr>
      </w:pPr>
      <w:r>
        <w:br w:type="page"/>
      </w:r>
    </w:p>
    <w:p w14:paraId="3E4234F5" w14:textId="639381E4" w:rsidR="0066211E" w:rsidRPr="00CB36BF" w:rsidRDefault="00530341" w:rsidP="00C24C24">
      <w:pPr>
        <w:pStyle w:val="Nadpis2"/>
        <w:jc w:val="left"/>
        <w:rPr>
          <w:lang w:eastAsia="cs-CZ"/>
        </w:rPr>
      </w:pPr>
      <w:r w:rsidRPr="00CB36BF">
        <w:lastRenderedPageBreak/>
        <w:t>P</w:t>
      </w:r>
      <w:r w:rsidR="00ED6E18" w:rsidRPr="00CB36BF">
        <w:rPr>
          <w:lang w:eastAsia="cs-CZ"/>
        </w:rPr>
        <w:t>ovinn</w:t>
      </w:r>
      <w:r w:rsidRPr="00CB36BF">
        <w:rPr>
          <w:lang w:eastAsia="cs-CZ"/>
        </w:rPr>
        <w:t>é</w:t>
      </w:r>
      <w:r w:rsidR="00ED6E18" w:rsidRPr="00CB36BF">
        <w:rPr>
          <w:lang w:eastAsia="cs-CZ"/>
        </w:rPr>
        <w:t xml:space="preserve"> parametr</w:t>
      </w:r>
      <w:r w:rsidRPr="00CB36BF">
        <w:rPr>
          <w:lang w:eastAsia="cs-CZ"/>
        </w:rPr>
        <w:t>y</w:t>
      </w:r>
      <w:r w:rsidR="00ED6E18" w:rsidRPr="00CB36BF">
        <w:rPr>
          <w:lang w:eastAsia="cs-CZ"/>
        </w:rPr>
        <w:t xml:space="preserve"> technického řešení</w:t>
      </w:r>
    </w:p>
    <w:p w14:paraId="0CF65EE4" w14:textId="77777777" w:rsidR="00725407" w:rsidRPr="00CB36BF" w:rsidRDefault="00204D4D" w:rsidP="00434EE4">
      <w:pPr>
        <w:pStyle w:val="Nadpis3"/>
        <w:numPr>
          <w:ilvl w:val="2"/>
          <w:numId w:val="2"/>
        </w:numPr>
        <w:jc w:val="left"/>
        <w:rPr>
          <w:lang w:eastAsia="cs-CZ"/>
        </w:rPr>
      </w:pPr>
      <w:r w:rsidRPr="00CB36BF">
        <w:rPr>
          <w:lang w:eastAsia="cs-CZ"/>
        </w:rPr>
        <w:t>Obecné požadavky</w:t>
      </w:r>
      <w:r w:rsidR="00725407" w:rsidRPr="00CB36BF">
        <w:rPr>
          <w:lang w:eastAsia="cs-CZ"/>
        </w:rPr>
        <w:t xml:space="preserve"> </w:t>
      </w:r>
    </w:p>
    <w:p w14:paraId="62A31A08" w14:textId="77777777" w:rsidR="003B7804" w:rsidRPr="00F52BDE" w:rsidRDefault="0013119D" w:rsidP="0013119D">
      <w:pPr>
        <w:pStyle w:val="Normln-Odstavec"/>
      </w:pPr>
      <w:r w:rsidRPr="00CB36BF">
        <w:t xml:space="preserve">V technickém popisu mohou být uvedeny značky, či přímo názvy řešení a to v případě, že Město považuje za odůvodněné, že řešení rozšiřuje stávající funkcionalitu, doplňuje funkčně stávající řešení, či požaduje řešení minimálně s vlastnostmi řešení uvedeného a konkrétní popis </w:t>
      </w:r>
      <w:r w:rsidRPr="00F52BDE">
        <w:t xml:space="preserve">by byl nad rámec tohoto dokumentu. </w:t>
      </w:r>
    </w:p>
    <w:p w14:paraId="49F67868" w14:textId="77777777" w:rsidR="0091048F" w:rsidRPr="00CB36BF" w:rsidRDefault="0091048F" w:rsidP="0091048F">
      <w:pPr>
        <w:pStyle w:val="Normln-Odstavec"/>
      </w:pPr>
      <w:r w:rsidRPr="00CB36BF">
        <w:t>Zadavatel při výstavbě, správě a provozu ICT technologií striktně dodržuje hledisko technologické neutrálnosti tj. využití technologií takovým způsobem, který neomezuje implementaci technologií různých výrobců – tuto strategii musí splňovat i řešení dodané v rámci této veřejné zakázky.</w:t>
      </w:r>
    </w:p>
    <w:p w14:paraId="0F761BEE" w14:textId="77777777" w:rsidR="0091048F" w:rsidRPr="00CB36BF" w:rsidRDefault="0091048F" w:rsidP="0091048F">
      <w:pPr>
        <w:pStyle w:val="Normln-Odstavec"/>
      </w:pPr>
      <w:r w:rsidRPr="00CB36BF">
        <w:t xml:space="preserve">Pokud uchazeč vyžaduje využití konkrétních softwarových produktů a jím zvolený přístup k řešení zadání je na takových konkrétních řešeních závislý, musí jejich pořízení zahrnout ve své nabídce v potřebném rozsahu a v rámci nabídnuté ceny. </w:t>
      </w:r>
    </w:p>
    <w:p w14:paraId="411A2D63" w14:textId="77777777" w:rsidR="0091048F" w:rsidRPr="00CB36BF" w:rsidRDefault="0091048F" w:rsidP="0091048F">
      <w:pPr>
        <w:pStyle w:val="Normln-Odstavec"/>
      </w:pPr>
      <w:r w:rsidRPr="00CB36BF">
        <w:t xml:space="preserve">Za předpokladu, že uchazečem navržené řešení vyžaduje fyzickou infrastrukturu (např. servery, komunikační prvky, atd.) neobsaženou v popisu předmětu plnění, zahrne uchazeč do své ceny všechny náklady na její pořízení, instalaci, konfiguraci a další služby potřebné pro uvedení do provozu. </w:t>
      </w:r>
    </w:p>
    <w:p w14:paraId="244C0416" w14:textId="77777777" w:rsidR="0091048F" w:rsidRDefault="0091048F" w:rsidP="0091048F">
      <w:pPr>
        <w:pStyle w:val="Normln-Odstavec"/>
      </w:pPr>
      <w:r w:rsidRPr="00CB36BF">
        <w:t>Pro každý softwarový produkt, který uchazeč nabídne v rámci svého řešení, budou v nabídce výslovně uvedeny všechny licenční nebo výkonové požadavky spojené s instalací a provozem řešení, včetně uvedení konkrétní infrastruktury na které bude řešení provozováno.</w:t>
      </w:r>
    </w:p>
    <w:p w14:paraId="134580A9" w14:textId="77777777" w:rsidR="00CC4ABA" w:rsidRPr="00CC4ABA" w:rsidRDefault="00CC4ABA" w:rsidP="0091048F">
      <w:pPr>
        <w:pStyle w:val="Normln-Odstavec"/>
        <w:jc w:val="left"/>
      </w:pPr>
      <w:r w:rsidRPr="00AA21CE">
        <w:t>Uchazeč ve své nabídce detailně popíše vazby na stávající systémy Zadavatele, které jsou nezbytné pro správné fungování řešení nabízeného Uchazečem.</w:t>
      </w:r>
    </w:p>
    <w:p w14:paraId="6C657D80" w14:textId="2C8B6A3C" w:rsidR="0091048F" w:rsidRPr="00CB36BF" w:rsidRDefault="0091048F" w:rsidP="0091048F">
      <w:pPr>
        <w:pStyle w:val="Normln-Odstavec"/>
      </w:pPr>
      <w:r w:rsidRPr="00CB36BF">
        <w:t>Zadavatel z důvodů co nejjednodušší a jednotné správy a minimalizace provozních nákladů vyžaduje využití stávajících prostředků a používaných technologií. V případě, že uchazeč vyžaduje ve svém řešení stejné nebo podobné funkce, jaké poskytují stávající prostředky a technologie, je povinen využít nebo vhodným způsobe</w:t>
      </w:r>
      <w:r w:rsidR="005E6134">
        <w:t>m rozšířit stávající prostředky.</w:t>
      </w:r>
    </w:p>
    <w:p w14:paraId="0C8C9ADA" w14:textId="64C4B26D" w:rsidR="00FB085C" w:rsidRPr="00CB36BF" w:rsidRDefault="00FB085C" w:rsidP="0091048F">
      <w:pPr>
        <w:pStyle w:val="Normln-Odstavec"/>
        <w:jc w:val="left"/>
      </w:pPr>
      <w:r w:rsidRPr="00CB36BF">
        <w:t xml:space="preserve">Nabízená řešení nesmí negativně ovlivnit </w:t>
      </w:r>
      <w:r w:rsidR="007D1F90">
        <w:t xml:space="preserve">parametry </w:t>
      </w:r>
      <w:r w:rsidRPr="00CB36BF">
        <w:t>stávající</w:t>
      </w:r>
      <w:r w:rsidR="007D1F90">
        <w:t>ho řešení.</w:t>
      </w:r>
    </w:p>
    <w:p w14:paraId="091D60B6" w14:textId="77777777" w:rsidR="0091048F" w:rsidRPr="00CB36BF" w:rsidRDefault="0091048F" w:rsidP="0091048F">
      <w:pPr>
        <w:pStyle w:val="Normln-Odstavec"/>
      </w:pPr>
      <w:r w:rsidRPr="00CB36BF">
        <w:t>Dodavatel prokáže, že všechny výrobky, které dodá Zadavateli:</w:t>
      </w:r>
    </w:p>
    <w:p w14:paraId="4713CC7B" w14:textId="77777777" w:rsidR="0091048F" w:rsidRPr="00CB36BF" w:rsidRDefault="0091048F" w:rsidP="0091048F">
      <w:pPr>
        <w:pStyle w:val="Normln-Psmeno"/>
      </w:pPr>
      <w:r w:rsidRPr="00CB36BF">
        <w:t>jsou nové, byly oprávněně uvedeny na trh v EU nebo pochází z autorizovaného prodejního kanálu výrobce,</w:t>
      </w:r>
    </w:p>
    <w:p w14:paraId="5D986485" w14:textId="77777777" w:rsidR="0091048F" w:rsidRPr="00CB36BF" w:rsidRDefault="0091048F" w:rsidP="0091048F">
      <w:pPr>
        <w:pStyle w:val="Normln-Psmeno"/>
      </w:pPr>
      <w:r w:rsidRPr="00CB36BF">
        <w:t>mají plnou záruku od výrobce,</w:t>
      </w:r>
    </w:p>
    <w:p w14:paraId="3A553A5A" w14:textId="77777777" w:rsidR="0091048F" w:rsidRPr="00CB36BF" w:rsidRDefault="0091048F" w:rsidP="0091048F">
      <w:pPr>
        <w:pStyle w:val="Normln-Psmeno"/>
      </w:pPr>
      <w:r w:rsidRPr="00CB36BF">
        <w:t>mohou být podporovány výrobcem a mohou být součástí servisního a podpůrného programu výrobce,</w:t>
      </w:r>
    </w:p>
    <w:p w14:paraId="72AC6815" w14:textId="77777777" w:rsidR="0091048F" w:rsidRPr="00CB36BF" w:rsidRDefault="0091048F" w:rsidP="0091048F">
      <w:pPr>
        <w:pStyle w:val="Normln-Psmeno"/>
      </w:pPr>
      <w:r w:rsidRPr="00CB36BF">
        <w:t>obsahuji licenci na používání příslušného softwaru,</w:t>
      </w:r>
    </w:p>
    <w:p w14:paraId="5B21E237" w14:textId="77777777" w:rsidR="0091048F" w:rsidRPr="00CB36BF" w:rsidRDefault="0091048F" w:rsidP="0091048F">
      <w:pPr>
        <w:pStyle w:val="Normln-Psmeno"/>
      </w:pPr>
      <w:r w:rsidRPr="00CB36BF">
        <w:t>jsou v databázi výrobce uvedeny jako prodaná Zadavateli,</w:t>
      </w:r>
    </w:p>
    <w:p w14:paraId="3DF04A19" w14:textId="77777777" w:rsidR="0091048F" w:rsidRPr="00CB36BF" w:rsidRDefault="0091048F" w:rsidP="0091048F">
      <w:pPr>
        <w:pStyle w:val="Normln-Psmeno"/>
      </w:pPr>
      <w:r w:rsidRPr="00CB36BF">
        <w:t>jsou určeny pro provoz v České republice.</w:t>
      </w:r>
    </w:p>
    <w:p w14:paraId="46576D0F" w14:textId="77777777" w:rsidR="0091048F" w:rsidRPr="00CB36BF" w:rsidRDefault="0091048F" w:rsidP="0007511C">
      <w:pPr>
        <w:pStyle w:val="Normln-Psmeno"/>
      </w:pPr>
      <w:r w:rsidRPr="00CB36BF">
        <w:t>Tyto skutečnosti dodavatel doloží čestným prohlášením distributora, popř. uchazečem samotným, nelze-li prohlášení distributora získat. Zadavatel si vyhrazuje právo na zjištění původu výrobku při jejich převzetí, a to dle příslušných sériových čísel a právo podpisu akceptačního protokolu, osvědčujícího převzetí dodávky, až po ověření původu výrobku.</w:t>
      </w:r>
    </w:p>
    <w:p w14:paraId="22FFB955" w14:textId="77777777" w:rsidR="006032DC" w:rsidRPr="00CB36BF" w:rsidRDefault="006032DC" w:rsidP="00434EE4">
      <w:pPr>
        <w:pStyle w:val="Nadpis3"/>
        <w:numPr>
          <w:ilvl w:val="2"/>
          <w:numId w:val="2"/>
        </w:numPr>
        <w:jc w:val="left"/>
        <w:rPr>
          <w:lang w:eastAsia="cs-CZ"/>
        </w:rPr>
      </w:pPr>
      <w:r w:rsidRPr="00CB36BF">
        <w:rPr>
          <w:lang w:eastAsia="cs-CZ"/>
        </w:rPr>
        <w:lastRenderedPageBreak/>
        <w:t>K1 – Virtualiza</w:t>
      </w:r>
      <w:r w:rsidR="007657AD">
        <w:rPr>
          <w:lang w:eastAsia="cs-CZ"/>
        </w:rPr>
        <w:t>ční platforma</w:t>
      </w:r>
    </w:p>
    <w:p w14:paraId="4DFF29AE" w14:textId="3F67CA7F" w:rsidR="00EF55BF" w:rsidRDefault="007657AD" w:rsidP="00EF55BF">
      <w:pPr>
        <w:pStyle w:val="Normln-Odstavec"/>
      </w:pPr>
      <w:r w:rsidRPr="007657AD">
        <w:t xml:space="preserve">Virtualizační platforma bude vedle virtualizace serverů umožňovat také </w:t>
      </w:r>
      <w:proofErr w:type="spellStart"/>
      <w:r w:rsidRPr="007657AD">
        <w:t>virtualizaci</w:t>
      </w:r>
      <w:proofErr w:type="spellEnd"/>
      <w:r w:rsidRPr="007657AD">
        <w:t xml:space="preserve"> aplikací. </w:t>
      </w:r>
      <w:r w:rsidR="00EF55BF" w:rsidRPr="00EF55BF">
        <w:t xml:space="preserve">Nabízené řešení komodity bude obsahovat komplexní řešení virtualizace </w:t>
      </w:r>
      <w:r w:rsidR="00EF55BF">
        <w:t>samostatných aplikací i</w:t>
      </w:r>
      <w:r w:rsidR="00EF55BF" w:rsidRPr="00EF55BF">
        <w:t xml:space="preserve"> celých uživatelských </w:t>
      </w:r>
      <w:r w:rsidR="00EF55BF">
        <w:t>prostředí (</w:t>
      </w:r>
      <w:r w:rsidR="00EF55BF" w:rsidRPr="00EF55BF">
        <w:t>desktopů</w:t>
      </w:r>
      <w:r w:rsidR="00EF55BF">
        <w:t>).</w:t>
      </w:r>
      <w:r w:rsidR="00EF55BF" w:rsidRPr="00EF55BF">
        <w:t xml:space="preserve"> </w:t>
      </w:r>
    </w:p>
    <w:p w14:paraId="7AD07F11" w14:textId="77777777" w:rsidR="001363B2" w:rsidRDefault="001363B2" w:rsidP="001363B2">
      <w:pPr>
        <w:pStyle w:val="Normln-Odstavec"/>
      </w:pPr>
      <w:r>
        <w:t xml:space="preserve">Virtualizační platforma bude postavena na kombinaci HW a SW a bude tvořit kompletní systémovou infrastrukturu s dostatečným výkonem pro provoz nově pořizovaných řešení. Celý koncept virtualizační platformy bude využívat redundantní zapojení, tzn. všechny klíčové prvky budou v zapojení, kdy při poruše jednoho zařízení zajistí provoz zařízení druhé - kromě vysoké dostupnosti budou také využity režimy pro </w:t>
      </w:r>
      <w:proofErr w:type="spellStart"/>
      <w:r>
        <w:t>load-balancing</w:t>
      </w:r>
      <w:proofErr w:type="spellEnd"/>
      <w:r>
        <w:t>, který umožní využít zařízení s maximální efektivitou. Virtualizační platforma je sestavena z následujících HW zařízení:</w:t>
      </w:r>
    </w:p>
    <w:p w14:paraId="2BA7AF14" w14:textId="77777777" w:rsidR="001363B2" w:rsidRDefault="001363B2" w:rsidP="001363B2">
      <w:pPr>
        <w:pStyle w:val="Normln-Odstavec"/>
        <w:numPr>
          <w:ilvl w:val="3"/>
          <w:numId w:val="19"/>
        </w:numPr>
      </w:pPr>
      <w:r>
        <w:t xml:space="preserve">2x servery pro </w:t>
      </w:r>
      <w:proofErr w:type="spellStart"/>
      <w:r>
        <w:t>virtualizaci</w:t>
      </w:r>
      <w:proofErr w:type="spellEnd"/>
    </w:p>
    <w:p w14:paraId="5AF46E80" w14:textId="77777777" w:rsidR="001363B2" w:rsidRDefault="001363B2" w:rsidP="001363B2">
      <w:pPr>
        <w:pStyle w:val="Normln-Odstavec"/>
        <w:numPr>
          <w:ilvl w:val="3"/>
          <w:numId w:val="19"/>
        </w:numPr>
      </w:pPr>
      <w:r>
        <w:t xml:space="preserve">1x redundantní </w:t>
      </w:r>
      <w:proofErr w:type="spellStart"/>
      <w:r>
        <w:t>virtualizované</w:t>
      </w:r>
      <w:proofErr w:type="spellEnd"/>
      <w:r>
        <w:t xml:space="preserve"> diskové pole</w:t>
      </w:r>
    </w:p>
    <w:p w14:paraId="6E401557" w14:textId="5AB47215" w:rsidR="001363B2" w:rsidRDefault="001363B2" w:rsidP="001363B2">
      <w:pPr>
        <w:pStyle w:val="Normln-Odstavec"/>
        <w:numPr>
          <w:ilvl w:val="3"/>
          <w:numId w:val="19"/>
        </w:numPr>
      </w:pPr>
      <w:r>
        <w:t>2x páteřní aktivní prvky pro MÚ a PO (příspěvkových organizací)</w:t>
      </w:r>
    </w:p>
    <w:p w14:paraId="2B7F9993" w14:textId="0A7236FE" w:rsidR="001363B2" w:rsidRDefault="001363B2" w:rsidP="001363B2">
      <w:pPr>
        <w:pStyle w:val="Normln-Odstavec"/>
        <w:numPr>
          <w:ilvl w:val="3"/>
          <w:numId w:val="19"/>
        </w:numPr>
      </w:pPr>
      <w:r>
        <w:t>1x distribuční aktivní prvek pro MÚ a PO</w:t>
      </w:r>
    </w:p>
    <w:p w14:paraId="265D396C" w14:textId="77777777" w:rsidR="001363B2" w:rsidRDefault="001363B2" w:rsidP="001363B2">
      <w:pPr>
        <w:pStyle w:val="Normln-Odstavec"/>
        <w:numPr>
          <w:ilvl w:val="0"/>
          <w:numId w:val="0"/>
        </w:numPr>
      </w:pPr>
      <w:r>
        <w:t>Součástí virtualizační platformy je také nezbytný software pro provoz:</w:t>
      </w:r>
    </w:p>
    <w:p w14:paraId="6170A4E5" w14:textId="5EA82F11" w:rsidR="001363B2" w:rsidRDefault="001363B2" w:rsidP="001363B2">
      <w:pPr>
        <w:pStyle w:val="Normln-Odstavec"/>
        <w:numPr>
          <w:ilvl w:val="3"/>
          <w:numId w:val="19"/>
        </w:numPr>
      </w:pPr>
      <w:r>
        <w:t>2x serverový OS</w:t>
      </w:r>
    </w:p>
    <w:p w14:paraId="3972DC07" w14:textId="77777777" w:rsidR="001363B2" w:rsidRDefault="001363B2" w:rsidP="001363B2">
      <w:pPr>
        <w:pStyle w:val="Normln-Odstavec"/>
        <w:numPr>
          <w:ilvl w:val="3"/>
          <w:numId w:val="19"/>
        </w:numPr>
      </w:pPr>
      <w:r>
        <w:t>50x klientské licence OS</w:t>
      </w:r>
    </w:p>
    <w:p w14:paraId="066FD588" w14:textId="77777777" w:rsidR="001363B2" w:rsidRDefault="001363B2" w:rsidP="001363B2">
      <w:pPr>
        <w:pStyle w:val="Normln-Odstavec"/>
        <w:numPr>
          <w:ilvl w:val="3"/>
          <w:numId w:val="19"/>
        </w:numPr>
      </w:pPr>
      <w:r>
        <w:t>50x terminálové licence (virtualizace aplikací)</w:t>
      </w:r>
    </w:p>
    <w:p w14:paraId="6ED91E6A" w14:textId="43B4387C" w:rsidR="001363B2" w:rsidRPr="00EF55BF" w:rsidRDefault="001363B2" w:rsidP="001363B2">
      <w:pPr>
        <w:pStyle w:val="Normln-Odstavec"/>
        <w:numPr>
          <w:ilvl w:val="3"/>
          <w:numId w:val="19"/>
        </w:numPr>
      </w:pPr>
      <w:r>
        <w:t>Zálohovací systém</w:t>
      </w:r>
    </w:p>
    <w:p w14:paraId="64408F29" w14:textId="26D1EE1A" w:rsidR="009B3A3C" w:rsidRDefault="007657AD" w:rsidP="005F260B">
      <w:pPr>
        <w:pStyle w:val="Normln-Odstavec"/>
      </w:pPr>
      <w:r w:rsidRPr="007657AD">
        <w:t>Součástí dodávky virtualizační platformy budou</w:t>
      </w:r>
      <w:r w:rsidR="00267D49">
        <w:t xml:space="preserve"> všechny nezbytné licence pro </w:t>
      </w:r>
      <w:r w:rsidR="001363B2">
        <w:t>50</w:t>
      </w:r>
      <w:r w:rsidRPr="007657AD">
        <w:t xml:space="preserve"> uživatelů - jedná se o uživatele aplikací a </w:t>
      </w:r>
      <w:proofErr w:type="spellStart"/>
      <w:r w:rsidRPr="007657AD">
        <w:t>agendových</w:t>
      </w:r>
      <w:proofErr w:type="spellEnd"/>
      <w:r w:rsidRPr="007657AD">
        <w:t xml:space="preserve"> systémů </w:t>
      </w:r>
      <w:r w:rsidR="001363B2">
        <w:t>příspěvkových organizací.</w:t>
      </w:r>
      <w:r w:rsidRPr="007657AD">
        <w:t xml:space="preserve"> </w:t>
      </w:r>
      <w:r>
        <w:t xml:space="preserve">Díky </w:t>
      </w:r>
      <w:proofErr w:type="spellStart"/>
      <w:r>
        <w:t>virtualizaci</w:t>
      </w:r>
      <w:proofErr w:type="spellEnd"/>
      <w:r>
        <w:t xml:space="preserve"> bude</w:t>
      </w:r>
      <w:r w:rsidRPr="007657AD">
        <w:t xml:space="preserve"> možné aplikace a desktopy provozovat centralizovaně na serverech a uživatelům je zpřístupnit vzdáleně prostřednictvím jednoduchého softwarového klienta, který pouze přenáší obrazovky aplikací ze serverů a údaje klávesnice a myši zpět.</w:t>
      </w:r>
    </w:p>
    <w:p w14:paraId="2184A90B" w14:textId="6FA21A7A" w:rsidR="007657AD" w:rsidRDefault="007657AD" w:rsidP="001363B2">
      <w:pPr>
        <w:pStyle w:val="Normln-Odstavec"/>
      </w:pPr>
      <w:r>
        <w:t xml:space="preserve">Nedílnou součástí virtualizační platformy je zálohovací systém, který zajistí efektivní zálohování a obnovu dat. Zálohovací systém bude využívat moderní technologie zálohování určené specificky pro </w:t>
      </w:r>
      <w:proofErr w:type="spellStart"/>
      <w:r>
        <w:t>virtualizaci</w:t>
      </w:r>
      <w:proofErr w:type="spellEnd"/>
      <w:r>
        <w:t xml:space="preserve">. Technické </w:t>
      </w:r>
      <w:proofErr w:type="spellStart"/>
      <w:r>
        <w:t>řešeni</w:t>
      </w:r>
      <w:proofErr w:type="spellEnd"/>
      <w:r>
        <w:t xml:space="preserve">́ tedy musí </w:t>
      </w:r>
      <w:proofErr w:type="spellStart"/>
      <w:r>
        <w:t>nabízet</w:t>
      </w:r>
      <w:proofErr w:type="spellEnd"/>
      <w:r>
        <w:t xml:space="preserve"> </w:t>
      </w:r>
      <w:proofErr w:type="spellStart"/>
      <w:r>
        <w:t>možnost</w:t>
      </w:r>
      <w:proofErr w:type="spellEnd"/>
      <w:r>
        <w:t xml:space="preserve"> </w:t>
      </w:r>
      <w:proofErr w:type="spellStart"/>
      <w:r>
        <w:t>granulárního</w:t>
      </w:r>
      <w:proofErr w:type="spellEnd"/>
      <w:r>
        <w:t xml:space="preserve"> </w:t>
      </w:r>
      <w:proofErr w:type="spellStart"/>
      <w:r>
        <w:t>zálohováni</w:t>
      </w:r>
      <w:proofErr w:type="spellEnd"/>
      <w:r>
        <w:t xml:space="preserve">́ a zotavení s ohledem na aplikace a obnovení na </w:t>
      </w:r>
      <w:proofErr w:type="spellStart"/>
      <w:r>
        <w:t>míste</w:t>
      </w:r>
      <w:proofErr w:type="spellEnd"/>
      <w:r>
        <w:t xml:space="preserve">̌, to </w:t>
      </w:r>
      <w:proofErr w:type="spellStart"/>
      <w:r>
        <w:t>vše</w:t>
      </w:r>
      <w:proofErr w:type="spellEnd"/>
      <w:r>
        <w:t xml:space="preserve"> bez </w:t>
      </w:r>
      <w:proofErr w:type="spellStart"/>
      <w:r>
        <w:t>potřeby</w:t>
      </w:r>
      <w:proofErr w:type="spellEnd"/>
      <w:r>
        <w:t xml:space="preserve"> agentů v operačních systémech či aplikacích. Zálohovací systém bude poskytovat </w:t>
      </w:r>
      <w:proofErr w:type="spellStart"/>
      <w:r>
        <w:t>komplexni</w:t>
      </w:r>
      <w:proofErr w:type="spellEnd"/>
      <w:r>
        <w:t xml:space="preserve">́ ochranu </w:t>
      </w:r>
      <w:proofErr w:type="spellStart"/>
      <w:r>
        <w:t>virtuálni</w:t>
      </w:r>
      <w:proofErr w:type="spellEnd"/>
      <w:r>
        <w:t xml:space="preserve">́ infrastruktury a bude </w:t>
      </w:r>
      <w:r w:rsidR="001363B2">
        <w:t>kompatibilní na úrovni dat a správy se stávajícím zálohovacím řešením.</w:t>
      </w:r>
    </w:p>
    <w:p w14:paraId="7955D639" w14:textId="4707DA6F" w:rsidR="007657AD" w:rsidRDefault="00A77775" w:rsidP="00A77775">
      <w:pPr>
        <w:pStyle w:val="Normln-Odstavec"/>
      </w:pPr>
      <w:r w:rsidRPr="00A77775">
        <w:t xml:space="preserve">Zálohy budou ukládány na </w:t>
      </w:r>
      <w:r w:rsidR="001363B2">
        <w:t xml:space="preserve">stávající </w:t>
      </w:r>
      <w:r w:rsidRPr="00A77775">
        <w:t>síťové úložiště NAS.</w:t>
      </w:r>
    </w:p>
    <w:p w14:paraId="6D0830A1" w14:textId="5C090DFF" w:rsidR="00A77775" w:rsidRDefault="00A77775" w:rsidP="00A77775">
      <w:pPr>
        <w:pStyle w:val="Normln-Odstavec"/>
      </w:pPr>
      <w:r w:rsidRPr="00A77775">
        <w:t xml:space="preserve">Virtualizační platforma bude provozována na nových serverech pro </w:t>
      </w:r>
      <w:proofErr w:type="spellStart"/>
      <w:r w:rsidRPr="00A77775">
        <w:t>virtualizaci</w:t>
      </w:r>
      <w:proofErr w:type="spellEnd"/>
      <w:r w:rsidRPr="00A77775">
        <w:t>, které budou umístěny ve stávajících prostorách</w:t>
      </w:r>
      <w:r w:rsidR="00330E45">
        <w:t xml:space="preserve"> v</w:t>
      </w:r>
      <w:r w:rsidR="001363B2">
        <w:t>e</w:t>
      </w:r>
      <w:r w:rsidR="00330E45">
        <w:t> </w:t>
      </w:r>
      <w:r w:rsidR="001363B2">
        <w:t>stávajícím</w:t>
      </w:r>
      <w:r w:rsidR="00330E45">
        <w:t xml:space="preserve"> datovém rozvaděči - racku</w:t>
      </w:r>
      <w:r w:rsidRPr="00A77775">
        <w:t>. Servery musí být v konfiguraci vhodné pro d</w:t>
      </w:r>
      <w:r>
        <w:t>ostupné prost</w:t>
      </w:r>
      <w:r w:rsidRPr="00A77775">
        <w:t>ory a s dostatečným výkonem pro provoz pořizovaných technologií. Technick</w:t>
      </w:r>
      <w:r w:rsidR="002B2116">
        <w:t xml:space="preserve">é řešení uvažuje s univerzálním </w:t>
      </w:r>
      <w:r w:rsidRPr="00A77775">
        <w:t xml:space="preserve">2-procesorovým serverem v prostorově úsporné velikosti 1U. </w:t>
      </w:r>
    </w:p>
    <w:p w14:paraId="42E12B2D" w14:textId="7512AF12" w:rsidR="00F216E2" w:rsidRDefault="00F216E2" w:rsidP="00F216E2">
      <w:pPr>
        <w:pStyle w:val="Normln-Odstavec"/>
      </w:pPr>
      <w:r w:rsidRPr="00F216E2">
        <w:t xml:space="preserve">Veškerá data budou ukládána na diskovém úložišti, které bude z důvodů redundance složeno ze dvou fyzických polí a bude </w:t>
      </w:r>
      <w:proofErr w:type="spellStart"/>
      <w:r w:rsidRPr="00F216E2">
        <w:t>virtualizováno</w:t>
      </w:r>
      <w:proofErr w:type="spellEnd"/>
      <w:r w:rsidRPr="00F216E2">
        <w:t xml:space="preserve"> - serverům se budou data prezentovat jako uložená na jednom úložišti, přestože ve skutečnosti budou rozložena a duplikována přes oba boxy. Pro přenos blokových dat mezi servery a diskovým polem </w:t>
      </w:r>
      <w:r>
        <w:t xml:space="preserve">bude využita technologie </w:t>
      </w:r>
      <w:proofErr w:type="spellStart"/>
      <w:r>
        <w:t>iSCSI</w:t>
      </w:r>
      <w:proofErr w:type="spellEnd"/>
      <w:r>
        <w:t xml:space="preserve">. </w:t>
      </w:r>
      <w:r w:rsidRPr="00F216E2">
        <w:t xml:space="preserve">Diskové úložiště bude doplněno o software, který umožní </w:t>
      </w:r>
      <w:proofErr w:type="spellStart"/>
      <w:r w:rsidRPr="00F216E2">
        <w:t>virtualizaci</w:t>
      </w:r>
      <w:proofErr w:type="spellEnd"/>
      <w:r w:rsidRPr="00F216E2">
        <w:t xml:space="preserve"> stávajících úložišť úřadu a jejich integraci s pořizovaným úložištěm a jednotnou centrální správu takto konsolidovaného úložiště. Data bude možno distribuovat a duplikovat mezi více nezávislými zařízeními a bude tak </w:t>
      </w:r>
      <w:r w:rsidRPr="00F216E2">
        <w:lastRenderedPageBreak/>
        <w:t>zásadně zvýšena jejich bezpečnost. Bude také umožněno jednoduché propojení systémů úřadu a PO a výměna potřebných dat již na úrovni diskových úložišť.</w:t>
      </w:r>
    </w:p>
    <w:p w14:paraId="70E5AC2F" w14:textId="68D3388D" w:rsidR="004A3DB0" w:rsidRDefault="008E7B09" w:rsidP="00330E45">
      <w:pPr>
        <w:pStyle w:val="Normln-Odstavec"/>
      </w:pPr>
      <w:r>
        <w:t>Pro řízení provozu na sí</w:t>
      </w:r>
      <w:r w:rsidR="00330E45" w:rsidRPr="00330E45">
        <w:t xml:space="preserve">ti budou využity páteřní aktivní prvky - Gigabit </w:t>
      </w:r>
      <w:proofErr w:type="spellStart"/>
      <w:r w:rsidR="00330E45" w:rsidRPr="00330E45">
        <w:t>Ethernet</w:t>
      </w:r>
      <w:proofErr w:type="spellEnd"/>
      <w:r w:rsidR="00330E45" w:rsidRPr="00330E45">
        <w:t xml:space="preserve"> přepínače, které podporují statické směrování vrstvy 3, diverzifikované služby a IPv6 přesměrování. Přepínače budou vybaveny technologií, která umožňuje vytvářet "virtuální </w:t>
      </w:r>
      <w:r w:rsidR="00330E45">
        <w:t>šasi</w:t>
      </w:r>
      <w:r w:rsidR="00330E45" w:rsidRPr="00330E45">
        <w:t>" pro správu několika přepínačů jako jednoho logického zařízení, které zvyšuje odolnosti sítě, výkon a dostupnost, a zároveň snižuje provozní složitost. Páteřní prvky budou zapojeny do jednoho virtuálního přepínače s vysokou dostupností</w:t>
      </w:r>
      <w:r w:rsidR="00C72428">
        <w:t>, schopností rozdělování zátěže</w:t>
      </w:r>
      <w:r w:rsidR="00330E45" w:rsidRPr="00330E45">
        <w:t xml:space="preserve"> a odolností proti výpadkům.</w:t>
      </w:r>
      <w:r w:rsidR="00F216E2">
        <w:t xml:space="preserve"> Přepínače budou vybaveny funkcemi pro začlenění do systémů MAN a RKI.</w:t>
      </w:r>
    </w:p>
    <w:p w14:paraId="1443197A" w14:textId="79B434E8" w:rsidR="006032DC" w:rsidRPr="00CB36BF" w:rsidRDefault="006032DC" w:rsidP="00434EE4">
      <w:pPr>
        <w:pStyle w:val="Nadpis3"/>
        <w:numPr>
          <w:ilvl w:val="2"/>
          <w:numId w:val="2"/>
        </w:numPr>
        <w:jc w:val="left"/>
        <w:rPr>
          <w:lang w:eastAsia="cs-CZ"/>
        </w:rPr>
      </w:pPr>
      <w:r w:rsidRPr="00CB36BF">
        <w:rPr>
          <w:lang w:eastAsia="cs-CZ"/>
        </w:rPr>
        <w:t xml:space="preserve">K2 – </w:t>
      </w:r>
      <w:r w:rsidR="00634A80">
        <w:t>Bezpečnostní systém</w:t>
      </w:r>
    </w:p>
    <w:p w14:paraId="26EE6170" w14:textId="01204B6B" w:rsidR="009B3A3C" w:rsidRDefault="009B3A3C" w:rsidP="009B3A3C">
      <w:pPr>
        <w:pStyle w:val="Normln-Odstavec"/>
      </w:pPr>
      <w:r>
        <w:t xml:space="preserve">Bezpečnostní systém </w:t>
      </w:r>
      <w:r w:rsidRPr="009B3A3C">
        <w:t>tvoří kombina</w:t>
      </w:r>
      <w:r w:rsidR="00634A80">
        <w:t xml:space="preserve">ce vysoce dostupného firewallu </w:t>
      </w:r>
      <w:r w:rsidRPr="009B3A3C">
        <w:t xml:space="preserve">a systém pro řízení bezpečnostních informací a událostí - SIEM, tzn. </w:t>
      </w:r>
      <w:proofErr w:type="spellStart"/>
      <w:r w:rsidRPr="009B3A3C">
        <w:t>Security</w:t>
      </w:r>
      <w:proofErr w:type="spellEnd"/>
      <w:r w:rsidRPr="009B3A3C">
        <w:t xml:space="preserve"> </w:t>
      </w:r>
      <w:proofErr w:type="spellStart"/>
      <w:r w:rsidRPr="009B3A3C">
        <w:t>Information</w:t>
      </w:r>
      <w:proofErr w:type="spellEnd"/>
      <w:r w:rsidRPr="009B3A3C">
        <w:t xml:space="preserve"> and </w:t>
      </w:r>
      <w:proofErr w:type="spellStart"/>
      <w:r w:rsidRPr="009B3A3C">
        <w:t>Event</w:t>
      </w:r>
      <w:proofErr w:type="spellEnd"/>
      <w:r w:rsidRPr="009B3A3C">
        <w:t xml:space="preserve"> Management). SIEM je systém zaměřený na shromažďování, normalizaci, </w:t>
      </w:r>
      <w:proofErr w:type="spellStart"/>
      <w:r w:rsidRPr="009B3A3C">
        <w:t>analýzu</w:t>
      </w:r>
      <w:proofErr w:type="spellEnd"/>
      <w:r w:rsidRPr="009B3A3C">
        <w:t xml:space="preserve">, agregaci a korelaci </w:t>
      </w:r>
      <w:r w:rsidR="00520218">
        <w:t xml:space="preserve">bezpečnostních událostí, </w:t>
      </w:r>
      <w:r w:rsidR="00AB6B87">
        <w:t>který</w:t>
      </w:r>
      <w:r w:rsidR="00520218">
        <w:t xml:space="preserve"> </w:t>
      </w:r>
      <w:r w:rsidRPr="009B3A3C">
        <w:t>v reálném čase prezentuje informace ze síťové infrastruktury, bezpečnostních zařízení a aplikací. Kombinace zařízení umožňuje dosáhnout synerg</w:t>
      </w:r>
      <w:r>
        <w:t>ických efektů, navíc eliminuje</w:t>
      </w:r>
      <w:r w:rsidRPr="009B3A3C">
        <w:t xml:space="preserve"> případný slabý bod jednotlivých systémů.</w:t>
      </w:r>
      <w:r w:rsidR="00F216E2">
        <w:t xml:space="preserve"> </w:t>
      </w:r>
    </w:p>
    <w:p w14:paraId="6D351EE1" w14:textId="5EF75F85" w:rsidR="00BD793E" w:rsidRDefault="009B3A3C" w:rsidP="00BD793E">
      <w:pPr>
        <w:pStyle w:val="Normln-Odstavec"/>
      </w:pPr>
      <w:r>
        <w:t>Vysoce dostupný centrální firewall bude zajišťovat b</w:t>
      </w:r>
      <w:r w:rsidR="00BD793E">
        <w:t xml:space="preserve">ezpečnost a řízení datových toků. Na centrálním firewallu bude řízen provoz mezi jednotlivými VLAN segmenty sítě úřadu, DMZ zónami resp. mezi zónami s rozdílnou úrovní důvěryhodnosti (například Internet </w:t>
      </w:r>
      <w:proofErr w:type="spellStart"/>
      <w:r w:rsidR="00BD793E">
        <w:t>vs</w:t>
      </w:r>
      <w:proofErr w:type="spellEnd"/>
      <w:r w:rsidR="00BD793E">
        <w:t xml:space="preserve"> DMZ, uživatelé vs. DMZ, uživatelé vs. Interní servery)</w:t>
      </w:r>
      <w:r w:rsidR="00F216E2">
        <w:t>, MAN a RKI</w:t>
      </w:r>
      <w:r w:rsidR="00BD793E">
        <w:t xml:space="preserve">. Vzhledem k předpokládanému využití firewallu pro ochranu serverových systémů v datovém centru je vyžadován vysokorychlostní firewall. Firewall musí garantovaně podporovat rychlosti v řádech Gigabitů za vteřinu. Firewall bude v souladu s celkovou filosofií komunikační infrastruktury zapojen do páteřních přepínačů agregovanými vícenásobnými 1Gb spoji. Budou implementovány 2 shodné firewally v </w:t>
      </w:r>
      <w:proofErr w:type="spellStart"/>
      <w:r w:rsidR="00BD793E">
        <w:t>clusterovém</w:t>
      </w:r>
      <w:proofErr w:type="spellEnd"/>
      <w:r w:rsidR="00BD793E">
        <w:t xml:space="preserve"> režimu (v případě výpadku/ poruchy jednoho firewallu přebírá druhý firewall automaticky všechny síťové úlohy), aby byla zachována koncepce redundance klíčových centrálních prvků, stejně jako v návrhu virtualizační platformy. Firewally budou typu NGFW (</w:t>
      </w:r>
      <w:proofErr w:type="spellStart"/>
      <w:r w:rsidR="00BD793E">
        <w:t>Next</w:t>
      </w:r>
      <w:proofErr w:type="spellEnd"/>
      <w:r w:rsidR="00BD793E">
        <w:t xml:space="preserve"> </w:t>
      </w:r>
      <w:proofErr w:type="spellStart"/>
      <w:r w:rsidR="00BD793E">
        <w:t>Generation</w:t>
      </w:r>
      <w:proofErr w:type="spellEnd"/>
      <w:r w:rsidR="00BD793E">
        <w:t xml:space="preserve"> Firewall). Takové firewally umožňují při konfiguraci pravidel intuitivně využívat logické objekty srozumitelné i bez speciálních znalostí (např. názvy aplikací místo portů, jména uživatelů/počítačů místo IP adres apod.). Významným způsobem se tak zjednodušuje správa těchto sofistikovaných zařízení a současně snižuje riziko možného omylu obsluhy.</w:t>
      </w:r>
    </w:p>
    <w:p w14:paraId="29EE9B78" w14:textId="5AAE2DB1" w:rsidR="00BD793E" w:rsidRDefault="00BD793E" w:rsidP="00BD793E">
      <w:pPr>
        <w:pStyle w:val="Normln-Odstavec"/>
      </w:pPr>
      <w:r>
        <w:t>Firewally budou vybaveny rozšířenými bezpečnostnímu funkcemi souhrnně nazývanými UTM (</w:t>
      </w:r>
      <w:proofErr w:type="spellStart"/>
      <w:r>
        <w:t>Unified</w:t>
      </w:r>
      <w:proofErr w:type="spellEnd"/>
      <w:r>
        <w:t xml:space="preserve"> </w:t>
      </w:r>
      <w:proofErr w:type="spellStart"/>
      <w:r>
        <w:t>Thread</w:t>
      </w:r>
      <w:proofErr w:type="spellEnd"/>
      <w:r>
        <w:t xml:space="preserve"> Management). UTM zahrnuje URL </w:t>
      </w:r>
      <w:proofErr w:type="spellStart"/>
      <w:r>
        <w:t>filtering</w:t>
      </w:r>
      <w:proofErr w:type="spellEnd"/>
      <w:r>
        <w:t>, Anti-Virus, Anti-Spam, Anti-Bot. Pro detekci a prevenci před útoky na síťové vrstvě budou firewally vybaveny IPS sondami, které budou nasazeny pro hloubkovou ochranu vybraných segmentů sítě.</w:t>
      </w:r>
    </w:p>
    <w:p w14:paraId="73663B76" w14:textId="0B2CAD5E" w:rsidR="002D1FE5" w:rsidRDefault="00350276" w:rsidP="002D1FE5">
      <w:pPr>
        <w:pStyle w:val="Normln-Odstavec"/>
      </w:pPr>
      <w:r>
        <w:t>Implemen</w:t>
      </w:r>
      <w:r w:rsidR="009412CB">
        <w:t>tací systému SIEM (</w:t>
      </w:r>
      <w:proofErr w:type="spellStart"/>
      <w:r w:rsidR="009412CB">
        <w:t>Security</w:t>
      </w:r>
      <w:proofErr w:type="spellEnd"/>
      <w:r w:rsidR="009412CB">
        <w:t xml:space="preserve"> </w:t>
      </w:r>
      <w:proofErr w:type="spellStart"/>
      <w:r w:rsidR="009412CB">
        <w:t>Information</w:t>
      </w:r>
      <w:proofErr w:type="spellEnd"/>
      <w:r w:rsidR="009412CB">
        <w:t xml:space="preserve"> and</w:t>
      </w:r>
      <w:r>
        <w:t xml:space="preserve"> </w:t>
      </w:r>
      <w:proofErr w:type="spellStart"/>
      <w:r>
        <w:t>Event</w:t>
      </w:r>
      <w:proofErr w:type="spellEnd"/>
      <w:r>
        <w:t xml:space="preserve"> Management) dojde k zastřešení informačních, především bezpečnostních, systémů úřadu a získání přehledu o jejich provozu. Informace o provozu IS umožní zavádění preventivních opatření, ale i rychlejší a efektivnější řešení případných bezpečnostních incidentů. Zavedením systému úřad také získá schopnost detekce bezpečnostních incidentů, jejichž ohlašování je hlavním požadavkem připravovaného Zákona o kybernetické bezpečnosti. SIEM automaticky sbírá, archivuje a analyzuje data a logy bezpečnostní povahy napříč celou infrastrukturou od síťových prvků přes různé operační systémy až po aplikace. Nad těmito daty pak probíhá pokročilá analýza, korelace a notifikace vyhodnocených bezpečnostních událostí a fenoménů. Díky tomuto systému bude možné mít aktuální přehled o potencionálních i skutečných anomáliích, hrozbách a bezpečnostních incidentech sledovaného prostředí.</w:t>
      </w:r>
    </w:p>
    <w:p w14:paraId="47ED38D1" w14:textId="76EAD392" w:rsidR="00634A80" w:rsidRDefault="00634A80" w:rsidP="00F216E2">
      <w:pPr>
        <w:pStyle w:val="Normln-Odstavec"/>
      </w:pPr>
      <w:r>
        <w:t>Součástí bezpečnostního systému bude</w:t>
      </w:r>
      <w:r w:rsidR="00F216E2">
        <w:t xml:space="preserve"> také UPS s prodlouženou dobou chodu na baterie. Prodloužená doba chodu (cca. 1,25 hod) je požadována z důvodu využití pořizovaných technologií nejen MÚ, ale i PO, které nejsou závislé na dodávce elektrické energie úřadu.</w:t>
      </w:r>
    </w:p>
    <w:p w14:paraId="41CF1CA4" w14:textId="0DED0D99" w:rsidR="004A3DB0" w:rsidRDefault="00B55B91" w:rsidP="00434EE4">
      <w:pPr>
        <w:pStyle w:val="Nadpis3"/>
        <w:numPr>
          <w:ilvl w:val="2"/>
          <w:numId w:val="2"/>
        </w:numPr>
        <w:rPr>
          <w:lang w:eastAsia="cs-CZ"/>
        </w:rPr>
      </w:pPr>
      <w:r w:rsidRPr="00CB36BF">
        <w:rPr>
          <w:lang w:eastAsia="cs-CZ"/>
        </w:rPr>
        <w:lastRenderedPageBreak/>
        <w:t xml:space="preserve">K3 - </w:t>
      </w:r>
      <w:r w:rsidR="00833E28" w:rsidRPr="00E202E3">
        <w:t xml:space="preserve">Sjednocení účetnictví a evidence majetku pro </w:t>
      </w:r>
      <w:r w:rsidR="00833E28">
        <w:t>PO</w:t>
      </w:r>
    </w:p>
    <w:p w14:paraId="10113D22" w14:textId="5865E0C6" w:rsidR="00833E28" w:rsidRDefault="00833E28" w:rsidP="00833E28">
      <w:pPr>
        <w:pStyle w:val="Normln-Odstavec"/>
      </w:pPr>
      <w:r>
        <w:t>Cílem řešení - komodity je zabezpečit příspěvkovým organizacím účetní systém, který bude umístěn a následně spravován ve vybudovaném TC ORP města Cheb.</w:t>
      </w:r>
    </w:p>
    <w:p w14:paraId="0062F01C" w14:textId="58502644" w:rsidR="00833E28" w:rsidRDefault="00833E28" w:rsidP="00833E28">
      <w:pPr>
        <w:pStyle w:val="Normln-Odstavec"/>
      </w:pPr>
      <w:r>
        <w:t>Řešení bude splňovat požadavky na okamžitý přehled o datech v účetnictví jednotlivých příspěvkových organizací pro potřeby kontroly dat, jejich sumarizaci a řízení odvětví.  Data v jednotné podobě budou zároveň použita pro Ministerstvo financí a pro řídí</w:t>
      </w:r>
      <w:r w:rsidR="00A473FD">
        <w:t>cí a kontrolní činnost odborů M</w:t>
      </w:r>
      <w:r>
        <w:t>Ú Cheb.</w:t>
      </w:r>
    </w:p>
    <w:p w14:paraId="6240BEDF" w14:textId="5239C088" w:rsidR="00377346" w:rsidRDefault="00833E28" w:rsidP="00833E28">
      <w:pPr>
        <w:pStyle w:val="Normln-Odstavec"/>
      </w:pPr>
      <w:r>
        <w:t xml:space="preserve">Řešení obsahuje i dodávku programového vybavení pro potřeby příspěvkových organizací pro pořízení prvotních dat. </w:t>
      </w:r>
    </w:p>
    <w:p w14:paraId="0954B919" w14:textId="74305684" w:rsidR="00A473FD" w:rsidRDefault="00A473FD" w:rsidP="00A473FD">
      <w:pPr>
        <w:pStyle w:val="Nadpis3"/>
        <w:numPr>
          <w:ilvl w:val="2"/>
          <w:numId w:val="2"/>
        </w:numPr>
      </w:pPr>
      <w:r>
        <w:t xml:space="preserve">K4 - </w:t>
      </w:r>
      <w:r w:rsidRPr="00E505E5">
        <w:t>Správní řízení</w:t>
      </w:r>
    </w:p>
    <w:p w14:paraId="465F8416" w14:textId="03F78B9F" w:rsidR="00A473FD" w:rsidRDefault="00A473FD" w:rsidP="00A473FD">
      <w:pPr>
        <w:pStyle w:val="Normln-Odstavec"/>
      </w:pPr>
      <w:r>
        <w:t>Náplní komodity je elektronizace správního řízení a optimalizace oblastí, které jsou v kompetenci ORP Cheb a zároveň dnes nejsou podpořeny stávajícími agendami a prvky ICT. Řešení komodity bude pokrývat oblast stavebního a vodoprávního řízení.</w:t>
      </w:r>
    </w:p>
    <w:p w14:paraId="7D73EFF9" w14:textId="47969BA9" w:rsidR="00A473FD" w:rsidRPr="00A473FD" w:rsidRDefault="00A473FD" w:rsidP="00A473FD">
      <w:pPr>
        <w:pStyle w:val="Normln-Odstavec"/>
      </w:pPr>
      <w:r>
        <w:t>Implementované řešení bude podporovat realizaci správního řízení v souladu s platnou legislativou.</w:t>
      </w:r>
    </w:p>
    <w:p w14:paraId="36B61114" w14:textId="799C2A18" w:rsidR="00377346" w:rsidRDefault="00377346" w:rsidP="00377346">
      <w:pPr>
        <w:pStyle w:val="Nadpis3"/>
        <w:numPr>
          <w:ilvl w:val="2"/>
          <w:numId w:val="2"/>
        </w:numPr>
        <w:rPr>
          <w:lang w:eastAsia="cs-CZ"/>
        </w:rPr>
      </w:pPr>
      <w:r w:rsidRPr="00CB36BF">
        <w:rPr>
          <w:lang w:eastAsia="cs-CZ"/>
        </w:rPr>
        <w:t>K</w:t>
      </w:r>
      <w:r w:rsidR="00A473FD">
        <w:rPr>
          <w:lang w:eastAsia="cs-CZ"/>
        </w:rPr>
        <w:t>5</w:t>
      </w:r>
      <w:r w:rsidRPr="00CB36BF">
        <w:rPr>
          <w:lang w:eastAsia="cs-CZ"/>
        </w:rPr>
        <w:t xml:space="preserve"> - </w:t>
      </w:r>
      <w:r w:rsidRPr="00B949E4">
        <w:t xml:space="preserve">Digitalizační </w:t>
      </w:r>
      <w:r>
        <w:t>linka</w:t>
      </w:r>
    </w:p>
    <w:p w14:paraId="2F77257F" w14:textId="77777777" w:rsidR="00B9285C" w:rsidRPr="00CD491E" w:rsidRDefault="00B9285C" w:rsidP="00B9285C">
      <w:pPr>
        <w:pStyle w:val="Normln-Odstavec"/>
      </w:pPr>
      <w:r w:rsidRPr="00CD491E">
        <w:t xml:space="preserve">Digitalizační bude využívat kombinaci skenovacího software a výkonného dokumentového skeneru. </w:t>
      </w:r>
    </w:p>
    <w:p w14:paraId="3EB3F1E1" w14:textId="40734B71" w:rsidR="00A473FD" w:rsidRDefault="00A473FD" w:rsidP="00A473FD">
      <w:pPr>
        <w:pStyle w:val="Normln-Odstavec"/>
      </w:pPr>
      <w:r>
        <w:t>Digitalizační linka zajistí automatizované ukládání skenovaných dokumentů do spisové služby. Využití skenovací linky se předpokládá na podatelně MÚ.</w:t>
      </w:r>
    </w:p>
    <w:p w14:paraId="50F75C01" w14:textId="18530AF3" w:rsidR="00A473FD" w:rsidRDefault="00A473FD" w:rsidP="00A473FD">
      <w:pPr>
        <w:pStyle w:val="Normln-Odstavec"/>
      </w:pPr>
      <w:r>
        <w:t>Řešení musí být schopné načítat ze zvoleného adresáře naskenované soubory, vyhledat v nich čárový kód, který se poté přenese do názvu výstupního souboru. Vstupní soubor bude možné automaticky konvertovat do PDF formátu včetně OCR rozpoznání textu. Textová OCR vrstva bude obsažena ve výsledném PDF.  Výstupní soubor bude uložen do předdefinovaného adresáře. Tento adresář bude monitorován systémovou službou, která bude provádět ukládání naskenovaných PDF do spisové služby k již existujícím dokumentům na základě jednoznačného identifikátoru v názvu souboru.</w:t>
      </w:r>
    </w:p>
    <w:p w14:paraId="08E635D5" w14:textId="77777777" w:rsidR="00B9285C" w:rsidRPr="00CD491E" w:rsidRDefault="00B9285C" w:rsidP="00B9285C">
      <w:pPr>
        <w:pStyle w:val="Normln-Odstavec"/>
      </w:pPr>
      <w:r w:rsidRPr="00CD491E">
        <w:t xml:space="preserve">Skenovací software bude obslužně jednoduchá a snadno </w:t>
      </w:r>
      <w:proofErr w:type="spellStart"/>
      <w:r w:rsidRPr="00CD491E">
        <w:t>použitelna</w:t>
      </w:r>
      <w:proofErr w:type="spellEnd"/>
      <w:r w:rsidRPr="00CD491E">
        <w:t xml:space="preserve">́ </w:t>
      </w:r>
      <w:proofErr w:type="spellStart"/>
      <w:r w:rsidRPr="00CD491E">
        <w:t>skenovaci</w:t>
      </w:r>
      <w:proofErr w:type="spellEnd"/>
      <w:r w:rsidRPr="00CD491E">
        <w:t xml:space="preserve">́ aplikace pro </w:t>
      </w:r>
      <w:proofErr w:type="spellStart"/>
      <w:r w:rsidRPr="00CD491E">
        <w:t>produkčni</w:t>
      </w:r>
      <w:proofErr w:type="spellEnd"/>
      <w:r w:rsidRPr="00CD491E">
        <w:t xml:space="preserve">́ </w:t>
      </w:r>
      <w:proofErr w:type="spellStart"/>
      <w:r w:rsidRPr="00CD491E">
        <w:t>dávkove</w:t>
      </w:r>
      <w:proofErr w:type="spellEnd"/>
      <w:r w:rsidRPr="00CD491E">
        <w:t xml:space="preserve">́ </w:t>
      </w:r>
      <w:proofErr w:type="spellStart"/>
      <w:r w:rsidRPr="00CD491E">
        <w:t>zpracováni</w:t>
      </w:r>
      <w:proofErr w:type="spellEnd"/>
      <w:r w:rsidRPr="00CD491E">
        <w:t xml:space="preserve">́ dokumentů a rozhraním v českém jazyce a poskytující </w:t>
      </w:r>
      <w:proofErr w:type="spellStart"/>
      <w:r w:rsidRPr="00CD491E">
        <w:t>uživatelske</w:t>
      </w:r>
      <w:proofErr w:type="spellEnd"/>
      <w:r w:rsidRPr="00CD491E">
        <w:t xml:space="preserve">́ </w:t>
      </w:r>
      <w:proofErr w:type="spellStart"/>
      <w:r w:rsidRPr="00CD491E">
        <w:t>rozhrani</w:t>
      </w:r>
      <w:proofErr w:type="spellEnd"/>
      <w:r w:rsidRPr="00CD491E">
        <w:t xml:space="preserve">́ standardu MS Office  </w:t>
      </w:r>
    </w:p>
    <w:p w14:paraId="17755DB3" w14:textId="77777777" w:rsidR="00B9285C" w:rsidRPr="00CD491E" w:rsidRDefault="00B9285C" w:rsidP="00B9285C">
      <w:pPr>
        <w:pStyle w:val="Normln-Odstavec"/>
      </w:pPr>
      <w:r w:rsidRPr="00CD491E">
        <w:t xml:space="preserve">Skenovací software bude umožňovat </w:t>
      </w:r>
      <w:proofErr w:type="spellStart"/>
      <w:r w:rsidRPr="00CD491E">
        <w:t>snadny</w:t>
      </w:r>
      <w:proofErr w:type="spellEnd"/>
      <w:r w:rsidRPr="00CD491E">
        <w:t xml:space="preserve">́ </w:t>
      </w:r>
      <w:proofErr w:type="spellStart"/>
      <w:r w:rsidRPr="00CD491E">
        <w:t>náhled</w:t>
      </w:r>
      <w:proofErr w:type="spellEnd"/>
      <w:r w:rsidRPr="00CD491E">
        <w:t xml:space="preserve">, úpravy (narovnání, vyčištění), </w:t>
      </w:r>
      <w:proofErr w:type="spellStart"/>
      <w:r w:rsidRPr="00CD491E">
        <w:t>přesun</w:t>
      </w:r>
      <w:proofErr w:type="spellEnd"/>
      <w:r w:rsidRPr="00CD491E">
        <w:t xml:space="preserve"> a </w:t>
      </w:r>
      <w:proofErr w:type="spellStart"/>
      <w:r w:rsidRPr="00CD491E">
        <w:t>zvětšeni</w:t>
      </w:r>
      <w:proofErr w:type="spellEnd"/>
      <w:r w:rsidRPr="00CD491E">
        <w:t xml:space="preserve">́ obrazu,  </w:t>
      </w:r>
      <w:proofErr w:type="spellStart"/>
      <w:r w:rsidRPr="00CD491E">
        <w:t>vizuálni</w:t>
      </w:r>
      <w:proofErr w:type="spellEnd"/>
      <w:r w:rsidRPr="00CD491E">
        <w:t xml:space="preserve">́ indikaci </w:t>
      </w:r>
      <w:proofErr w:type="spellStart"/>
      <w:r w:rsidRPr="00CD491E">
        <w:t>předni</w:t>
      </w:r>
      <w:proofErr w:type="spellEnd"/>
      <w:r w:rsidRPr="00CD491E">
        <w:t xml:space="preserve">́ a </w:t>
      </w:r>
      <w:proofErr w:type="spellStart"/>
      <w:r w:rsidRPr="00CD491E">
        <w:t>zadni</w:t>
      </w:r>
      <w:proofErr w:type="spellEnd"/>
      <w:r w:rsidRPr="00CD491E">
        <w:t xml:space="preserve">́ strany, vytěžování a zadávání </w:t>
      </w:r>
      <w:proofErr w:type="spellStart"/>
      <w:r w:rsidRPr="00CD491E">
        <w:t>metadat</w:t>
      </w:r>
      <w:proofErr w:type="spellEnd"/>
      <w:r w:rsidRPr="00CD491E">
        <w:t xml:space="preserve"> (indexů) a bude umožňovat rychlou práci s vysokou mírou automatizace.</w:t>
      </w:r>
    </w:p>
    <w:p w14:paraId="0C984B9D" w14:textId="77777777" w:rsidR="00B9285C" w:rsidRPr="00CD491E" w:rsidRDefault="00B9285C" w:rsidP="00B9285C">
      <w:pPr>
        <w:pStyle w:val="Normln-Odstavec"/>
      </w:pPr>
      <w:r w:rsidRPr="00CD491E">
        <w:t xml:space="preserve">Skenovací software musí disponovat funkcí rozpoznání textu (OCR) a vytváření </w:t>
      </w:r>
      <w:proofErr w:type="spellStart"/>
      <w:r w:rsidRPr="00CD491E">
        <w:t>prohledávatelných</w:t>
      </w:r>
      <w:proofErr w:type="spellEnd"/>
      <w:r w:rsidRPr="00CD491E">
        <w:t xml:space="preserve"> PDF.</w:t>
      </w:r>
    </w:p>
    <w:p w14:paraId="7AF0AAAD" w14:textId="77777777" w:rsidR="007250CB" w:rsidRPr="007250CB" w:rsidRDefault="007250CB" w:rsidP="007250CB">
      <w:pPr>
        <w:rPr>
          <w:highlight w:val="yellow"/>
        </w:rPr>
      </w:pPr>
    </w:p>
    <w:p w14:paraId="24E3BEEE" w14:textId="77777777" w:rsidR="005F37B9" w:rsidRPr="002A30AF" w:rsidRDefault="005F37B9" w:rsidP="002A30AF">
      <w:pPr>
        <w:sectPr w:rsidR="005F37B9" w:rsidRPr="002A30AF" w:rsidSect="00EB5F5F">
          <w:footerReference w:type="default" r:id="rId7"/>
          <w:headerReference w:type="first" r:id="rId8"/>
          <w:pgSz w:w="11900" w:h="16840"/>
          <w:pgMar w:top="1843" w:right="1800" w:bottom="1440" w:left="1560" w:header="708" w:footer="0" w:gutter="0"/>
          <w:cols w:space="708"/>
          <w:titlePg/>
          <w:docGrid w:linePitch="360"/>
        </w:sectPr>
      </w:pPr>
    </w:p>
    <w:p w14:paraId="582C14AE" w14:textId="6046D13C" w:rsidR="00FB085C" w:rsidRPr="00CB36BF" w:rsidRDefault="00FB085C" w:rsidP="00434EE4">
      <w:pPr>
        <w:pStyle w:val="Nadpis3"/>
        <w:numPr>
          <w:ilvl w:val="2"/>
          <w:numId w:val="2"/>
        </w:numPr>
        <w:rPr>
          <w:lang w:eastAsia="cs-CZ"/>
        </w:rPr>
      </w:pPr>
      <w:r w:rsidRPr="00CB36BF">
        <w:rPr>
          <w:lang w:eastAsia="cs-CZ"/>
        </w:rPr>
        <w:lastRenderedPageBreak/>
        <w:t>Popis povinných parametrů dodávaného řešení</w:t>
      </w:r>
    </w:p>
    <w:p w14:paraId="2E2237F2" w14:textId="77777777" w:rsidR="00FB085C" w:rsidRPr="00CB36BF" w:rsidRDefault="00FB085C" w:rsidP="00434EE4">
      <w:pPr>
        <w:pStyle w:val="Normln-Odstavec"/>
        <w:numPr>
          <w:ilvl w:val="3"/>
          <w:numId w:val="2"/>
        </w:numPr>
      </w:pPr>
      <w:r w:rsidRPr="00CB36BF">
        <w:t xml:space="preserve">V dále uvedených tabulkách jsou uvedeny minimální povinné parametry dodávaného řešení. </w:t>
      </w:r>
    </w:p>
    <w:p w14:paraId="71C9057E" w14:textId="77777777" w:rsidR="00FB085C" w:rsidRPr="00CB36BF" w:rsidRDefault="00FB085C" w:rsidP="00434EE4">
      <w:pPr>
        <w:pStyle w:val="Normln-Odstavec"/>
        <w:numPr>
          <w:ilvl w:val="3"/>
          <w:numId w:val="2"/>
        </w:numPr>
      </w:pPr>
      <w:r w:rsidRPr="00CB36BF">
        <w:rPr>
          <w:b/>
        </w:rPr>
        <w:t>Uchazeč musí všechny povinné parametry splnit, v případě nesplnění je jeho nabídka vyloučena</w:t>
      </w:r>
      <w:r w:rsidRPr="00CB36BF">
        <w:t>.</w:t>
      </w:r>
    </w:p>
    <w:tbl>
      <w:tblPr>
        <w:tblW w:w="0" w:type="auto"/>
        <w:tblInd w:w="80" w:type="dxa"/>
        <w:tblLayout w:type="fixed"/>
        <w:tblCellMar>
          <w:left w:w="70" w:type="dxa"/>
          <w:right w:w="70" w:type="dxa"/>
        </w:tblCellMar>
        <w:tblLook w:val="04A0" w:firstRow="1" w:lastRow="0" w:firstColumn="1" w:lastColumn="0" w:noHBand="0" w:noVBand="1"/>
      </w:tblPr>
      <w:tblGrid>
        <w:gridCol w:w="1124"/>
        <w:gridCol w:w="1276"/>
        <w:gridCol w:w="5954"/>
        <w:gridCol w:w="2835"/>
        <w:gridCol w:w="2428"/>
      </w:tblGrid>
      <w:tr w:rsidR="005F260B" w:rsidRPr="005F260B" w14:paraId="239AE39C" w14:textId="77777777" w:rsidTr="008D4FC8">
        <w:trPr>
          <w:cantSplit/>
          <w:trHeight w:val="315"/>
          <w:tblHeader/>
        </w:trPr>
        <w:tc>
          <w:tcPr>
            <w:tcW w:w="13617" w:type="dxa"/>
            <w:gridSpan w:val="5"/>
            <w:tcBorders>
              <w:top w:val="single" w:sz="8" w:space="0" w:color="auto"/>
              <w:left w:val="single" w:sz="8" w:space="0" w:color="auto"/>
              <w:bottom w:val="single" w:sz="8" w:space="0" w:color="auto"/>
              <w:right w:val="single" w:sz="8" w:space="0" w:color="000000"/>
            </w:tcBorders>
            <w:shd w:val="clear" w:color="000000" w:fill="C6D9F1"/>
            <w:noWrap/>
            <w:vAlign w:val="center"/>
            <w:hideMark/>
          </w:tcPr>
          <w:p w14:paraId="66DC1191" w14:textId="77777777" w:rsidR="005F260B" w:rsidRPr="005F260B" w:rsidRDefault="005F260B" w:rsidP="005F260B">
            <w:pPr>
              <w:spacing w:after="0"/>
              <w:jc w:val="left"/>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Komodita K1 - Virtualizační platforma</w:t>
            </w:r>
          </w:p>
        </w:tc>
      </w:tr>
      <w:tr w:rsidR="005F260B" w:rsidRPr="005F260B" w14:paraId="4CE9FE2D" w14:textId="77777777" w:rsidTr="008D4FC8">
        <w:trPr>
          <w:trHeight w:val="540"/>
        </w:trPr>
        <w:tc>
          <w:tcPr>
            <w:tcW w:w="1124" w:type="dxa"/>
            <w:vMerge w:val="restart"/>
            <w:tcBorders>
              <w:top w:val="single" w:sz="8" w:space="0" w:color="auto"/>
              <w:left w:val="single" w:sz="8" w:space="0" w:color="auto"/>
              <w:bottom w:val="single" w:sz="8" w:space="0" w:color="000000"/>
              <w:right w:val="single" w:sz="4" w:space="0" w:color="auto"/>
            </w:tcBorders>
            <w:shd w:val="clear" w:color="000000" w:fill="F2F2F2"/>
            <w:noWrap/>
            <w:vAlign w:val="center"/>
            <w:hideMark/>
          </w:tcPr>
          <w:p w14:paraId="081A9BC9"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Část</w:t>
            </w:r>
          </w:p>
        </w:tc>
        <w:tc>
          <w:tcPr>
            <w:tcW w:w="1276" w:type="dxa"/>
            <w:vMerge w:val="restart"/>
            <w:tcBorders>
              <w:top w:val="single" w:sz="8" w:space="0" w:color="auto"/>
              <w:left w:val="single" w:sz="4" w:space="0" w:color="auto"/>
              <w:bottom w:val="single" w:sz="8" w:space="0" w:color="000000"/>
              <w:right w:val="single" w:sz="4" w:space="0" w:color="auto"/>
            </w:tcBorders>
            <w:shd w:val="clear" w:color="000000" w:fill="F2F2F2"/>
            <w:noWrap/>
            <w:vAlign w:val="center"/>
            <w:hideMark/>
          </w:tcPr>
          <w:p w14:paraId="7FD725C3"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Parametr</w:t>
            </w:r>
          </w:p>
        </w:tc>
        <w:tc>
          <w:tcPr>
            <w:tcW w:w="5954" w:type="dxa"/>
            <w:vMerge w:val="restart"/>
            <w:tcBorders>
              <w:top w:val="single" w:sz="8" w:space="0" w:color="auto"/>
              <w:left w:val="single" w:sz="4" w:space="0" w:color="auto"/>
              <w:bottom w:val="single" w:sz="8" w:space="0" w:color="000000"/>
              <w:right w:val="single" w:sz="4" w:space="0" w:color="auto"/>
            </w:tcBorders>
            <w:shd w:val="clear" w:color="000000" w:fill="F2F2F2"/>
            <w:noWrap/>
            <w:vAlign w:val="center"/>
            <w:hideMark/>
          </w:tcPr>
          <w:p w14:paraId="7BD0AF6F"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Popis povinného parametru</w:t>
            </w:r>
          </w:p>
        </w:tc>
        <w:tc>
          <w:tcPr>
            <w:tcW w:w="2835"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0FE7306F"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Uchazeč popíše způsob naplnění tohoto povinného parametru včetně značkové specifikace nabízených dodávek</w:t>
            </w:r>
          </w:p>
        </w:tc>
        <w:tc>
          <w:tcPr>
            <w:tcW w:w="2428" w:type="dxa"/>
            <w:vMerge w:val="restart"/>
            <w:tcBorders>
              <w:top w:val="nil"/>
              <w:left w:val="single" w:sz="4" w:space="0" w:color="auto"/>
              <w:bottom w:val="single" w:sz="8" w:space="0" w:color="000000"/>
              <w:right w:val="single" w:sz="8" w:space="0" w:color="auto"/>
            </w:tcBorders>
            <w:shd w:val="clear" w:color="000000" w:fill="F2F2F2"/>
            <w:vAlign w:val="center"/>
            <w:hideMark/>
          </w:tcPr>
          <w:p w14:paraId="3339D696"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Uchazeč uvede odkaz na přiloženou část nabídky, kde je možné ověřit naplnění parametru</w:t>
            </w:r>
          </w:p>
        </w:tc>
      </w:tr>
      <w:tr w:rsidR="005F260B" w:rsidRPr="005F260B" w14:paraId="393562E4" w14:textId="77777777" w:rsidTr="008D4FC8">
        <w:trPr>
          <w:trHeight w:val="195"/>
        </w:trPr>
        <w:tc>
          <w:tcPr>
            <w:tcW w:w="1124" w:type="dxa"/>
            <w:vMerge/>
            <w:tcBorders>
              <w:top w:val="single" w:sz="8" w:space="0" w:color="auto"/>
              <w:left w:val="single" w:sz="8" w:space="0" w:color="auto"/>
              <w:bottom w:val="single" w:sz="8" w:space="0" w:color="000000"/>
              <w:right w:val="single" w:sz="4" w:space="0" w:color="auto"/>
            </w:tcBorders>
            <w:vAlign w:val="center"/>
            <w:hideMark/>
          </w:tcPr>
          <w:p w14:paraId="47C8DB57"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14:paraId="7F936E05"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5954" w:type="dxa"/>
            <w:vMerge/>
            <w:tcBorders>
              <w:top w:val="single" w:sz="8" w:space="0" w:color="auto"/>
              <w:left w:val="single" w:sz="4" w:space="0" w:color="auto"/>
              <w:bottom w:val="single" w:sz="8" w:space="0" w:color="000000"/>
              <w:right w:val="single" w:sz="4" w:space="0" w:color="auto"/>
            </w:tcBorders>
            <w:vAlign w:val="center"/>
            <w:hideMark/>
          </w:tcPr>
          <w:p w14:paraId="55F0B8B7"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2835" w:type="dxa"/>
            <w:vMerge/>
            <w:tcBorders>
              <w:top w:val="nil"/>
              <w:left w:val="single" w:sz="4" w:space="0" w:color="auto"/>
              <w:bottom w:val="single" w:sz="8" w:space="0" w:color="000000"/>
              <w:right w:val="single" w:sz="4" w:space="0" w:color="auto"/>
            </w:tcBorders>
            <w:vAlign w:val="center"/>
            <w:hideMark/>
          </w:tcPr>
          <w:p w14:paraId="0EEB2AE9"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2428" w:type="dxa"/>
            <w:vMerge/>
            <w:tcBorders>
              <w:top w:val="nil"/>
              <w:left w:val="single" w:sz="4" w:space="0" w:color="auto"/>
              <w:bottom w:val="single" w:sz="8" w:space="0" w:color="000000"/>
              <w:right w:val="single" w:sz="8" w:space="0" w:color="auto"/>
            </w:tcBorders>
            <w:vAlign w:val="center"/>
            <w:hideMark/>
          </w:tcPr>
          <w:p w14:paraId="6ED9EBBB" w14:textId="77777777" w:rsidR="005F260B" w:rsidRPr="005F260B" w:rsidRDefault="005F260B" w:rsidP="005F260B">
            <w:pPr>
              <w:spacing w:after="0"/>
              <w:jc w:val="left"/>
              <w:rPr>
                <w:rFonts w:ascii="Calibri" w:eastAsia="Times New Roman" w:hAnsi="Calibri"/>
                <w:b/>
                <w:bCs/>
                <w:color w:val="000000"/>
                <w:sz w:val="16"/>
                <w:szCs w:val="16"/>
                <w:lang w:eastAsia="cs-CZ"/>
              </w:rPr>
            </w:pPr>
          </w:p>
        </w:tc>
      </w:tr>
      <w:tr w:rsidR="005F260B" w:rsidRPr="005F260B" w14:paraId="6F5D16EF" w14:textId="77777777" w:rsidTr="008D4FC8">
        <w:trPr>
          <w:trHeight w:val="300"/>
        </w:trPr>
        <w:tc>
          <w:tcPr>
            <w:tcW w:w="11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1F8557"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Virtualizační servery</w:t>
            </w:r>
            <w:r w:rsidRPr="005F260B">
              <w:rPr>
                <w:rFonts w:ascii="Calibri" w:eastAsia="Times New Roman" w:hAnsi="Calibri"/>
                <w:b/>
                <w:bCs/>
                <w:color w:val="000000"/>
                <w:sz w:val="16"/>
                <w:szCs w:val="16"/>
                <w:lang w:eastAsia="cs-CZ"/>
              </w:rPr>
              <w:br/>
              <w:t>2 kusy</w:t>
            </w:r>
          </w:p>
        </w:tc>
        <w:tc>
          <w:tcPr>
            <w:tcW w:w="1276" w:type="dxa"/>
            <w:tcBorders>
              <w:top w:val="nil"/>
              <w:left w:val="nil"/>
              <w:bottom w:val="single" w:sz="4" w:space="0" w:color="auto"/>
              <w:right w:val="single" w:sz="8" w:space="0" w:color="auto"/>
            </w:tcBorders>
            <w:shd w:val="clear" w:color="auto" w:fill="auto"/>
            <w:noWrap/>
            <w:vAlign w:val="center"/>
            <w:hideMark/>
          </w:tcPr>
          <w:p w14:paraId="644B438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Provedení</w:t>
            </w:r>
          </w:p>
        </w:tc>
        <w:tc>
          <w:tcPr>
            <w:tcW w:w="5954" w:type="dxa"/>
            <w:tcBorders>
              <w:top w:val="nil"/>
              <w:left w:val="nil"/>
              <w:bottom w:val="single" w:sz="4" w:space="0" w:color="auto"/>
              <w:right w:val="single" w:sz="4" w:space="0" w:color="auto"/>
            </w:tcBorders>
            <w:shd w:val="clear" w:color="auto" w:fill="auto"/>
            <w:noWrap/>
            <w:vAlign w:val="center"/>
            <w:hideMark/>
          </w:tcPr>
          <w:p w14:paraId="36699118" w14:textId="0C7A8FFE"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D</w:t>
            </w:r>
            <w:r w:rsidR="005F260B" w:rsidRPr="005F260B">
              <w:rPr>
                <w:rFonts w:ascii="Calibri" w:eastAsia="Times New Roman" w:hAnsi="Calibri"/>
                <w:color w:val="000000"/>
                <w:sz w:val="16"/>
                <w:szCs w:val="16"/>
                <w:lang w:eastAsia="cs-CZ"/>
              </w:rPr>
              <w:t>o racku, rozměr max. 1RU, včetně montážního materiálu do racku</w:t>
            </w:r>
          </w:p>
        </w:tc>
        <w:tc>
          <w:tcPr>
            <w:tcW w:w="2835" w:type="dxa"/>
            <w:tcBorders>
              <w:top w:val="nil"/>
              <w:left w:val="nil"/>
              <w:bottom w:val="single" w:sz="4" w:space="0" w:color="auto"/>
              <w:right w:val="single" w:sz="4" w:space="0" w:color="auto"/>
            </w:tcBorders>
            <w:shd w:val="clear" w:color="auto" w:fill="auto"/>
            <w:noWrap/>
            <w:vAlign w:val="bottom"/>
            <w:hideMark/>
          </w:tcPr>
          <w:p w14:paraId="0AF0086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57F4A9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51E5BD32"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145C2BD"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4C4CA68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Procesor</w:t>
            </w:r>
          </w:p>
        </w:tc>
        <w:tc>
          <w:tcPr>
            <w:tcW w:w="5954" w:type="dxa"/>
            <w:tcBorders>
              <w:top w:val="nil"/>
              <w:left w:val="nil"/>
              <w:bottom w:val="single" w:sz="4" w:space="0" w:color="auto"/>
              <w:right w:val="single" w:sz="4" w:space="0" w:color="auto"/>
            </w:tcBorders>
            <w:shd w:val="clear" w:color="auto" w:fill="auto"/>
            <w:noWrap/>
            <w:vAlign w:val="center"/>
            <w:hideMark/>
          </w:tcPr>
          <w:p w14:paraId="339C4E2C" w14:textId="04E088E1" w:rsidR="005F260B" w:rsidRPr="005F260B" w:rsidRDefault="005D2539" w:rsidP="009A03EE">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5F260B" w:rsidRPr="005F260B">
              <w:rPr>
                <w:rFonts w:ascii="Calibri" w:eastAsia="Times New Roman" w:hAnsi="Calibri"/>
                <w:color w:val="000000"/>
                <w:sz w:val="16"/>
                <w:szCs w:val="16"/>
                <w:lang w:eastAsia="cs-CZ"/>
              </w:rPr>
              <w:t xml:space="preserve">inimálně 2x procesor šesti-jádrový (dohromady tedy min 12 </w:t>
            </w:r>
            <w:proofErr w:type="gramStart"/>
            <w:r w:rsidR="005F260B" w:rsidRPr="005F260B">
              <w:rPr>
                <w:rFonts w:ascii="Calibri" w:eastAsia="Times New Roman" w:hAnsi="Calibri"/>
                <w:color w:val="000000"/>
                <w:sz w:val="16"/>
                <w:szCs w:val="16"/>
                <w:lang w:eastAsia="cs-CZ"/>
              </w:rPr>
              <w:t xml:space="preserve">jader), </w:t>
            </w:r>
            <w:r w:rsidR="009A03EE">
              <w:rPr>
                <w:rFonts w:ascii="Calibri" w:eastAsia="Times New Roman" w:hAnsi="Calibri"/>
                <w:color w:val="000000"/>
                <w:sz w:val="16"/>
                <w:szCs w:val="16"/>
                <w:lang w:eastAsia="cs-CZ"/>
              </w:rPr>
              <w:t xml:space="preserve"> výkon</w:t>
            </w:r>
            <w:proofErr w:type="gramEnd"/>
            <w:r w:rsidR="009A03EE">
              <w:rPr>
                <w:rFonts w:ascii="Calibri" w:eastAsia="Times New Roman" w:hAnsi="Calibri"/>
                <w:color w:val="000000"/>
                <w:sz w:val="16"/>
                <w:szCs w:val="16"/>
                <w:lang w:eastAsia="cs-CZ"/>
              </w:rPr>
              <w:t xml:space="preserve"> každého procesoru dle </w:t>
            </w:r>
            <w:hyperlink r:id="rId9" w:history="1">
              <w:r w:rsidR="009A03EE" w:rsidRPr="00C5375A">
                <w:rPr>
                  <w:rStyle w:val="Hypertextovodkaz"/>
                  <w:rFonts w:ascii="Calibri" w:eastAsia="Times New Roman" w:hAnsi="Calibri"/>
                  <w:sz w:val="16"/>
                  <w:szCs w:val="16"/>
                  <w:lang w:eastAsia="cs-CZ"/>
                </w:rPr>
                <w:t>http://www.cpubenchmark.net/cpu_list.php</w:t>
              </w:r>
            </w:hyperlink>
            <w:r w:rsidR="009A03EE">
              <w:rPr>
                <w:rFonts w:ascii="Calibri" w:eastAsia="Times New Roman" w:hAnsi="Calibri"/>
                <w:color w:val="000000"/>
                <w:sz w:val="16"/>
                <w:szCs w:val="16"/>
                <w:lang w:eastAsia="cs-CZ"/>
              </w:rPr>
              <w:t xml:space="preserve"> </w:t>
            </w:r>
            <w:proofErr w:type="spellStart"/>
            <w:r w:rsidR="009A03EE">
              <w:rPr>
                <w:rFonts w:ascii="Calibri" w:eastAsia="Times New Roman" w:hAnsi="Calibri"/>
                <w:color w:val="000000"/>
                <w:sz w:val="16"/>
                <w:szCs w:val="16"/>
                <w:lang w:eastAsia="cs-CZ"/>
              </w:rPr>
              <w:t>Passmark</w:t>
            </w:r>
            <w:proofErr w:type="spellEnd"/>
            <w:r w:rsidR="009A03EE">
              <w:rPr>
                <w:rFonts w:ascii="Calibri" w:eastAsia="Times New Roman" w:hAnsi="Calibri"/>
                <w:color w:val="000000"/>
                <w:sz w:val="16"/>
                <w:szCs w:val="16"/>
                <w:lang w:eastAsia="cs-CZ"/>
              </w:rPr>
              <w:t xml:space="preserve"> CPU Mark min. 10600</w:t>
            </w:r>
          </w:p>
        </w:tc>
        <w:tc>
          <w:tcPr>
            <w:tcW w:w="2835" w:type="dxa"/>
            <w:tcBorders>
              <w:top w:val="nil"/>
              <w:left w:val="nil"/>
              <w:bottom w:val="single" w:sz="4" w:space="0" w:color="auto"/>
              <w:right w:val="single" w:sz="4" w:space="0" w:color="auto"/>
            </w:tcBorders>
            <w:shd w:val="clear" w:color="auto" w:fill="auto"/>
            <w:noWrap/>
            <w:vAlign w:val="bottom"/>
            <w:hideMark/>
          </w:tcPr>
          <w:p w14:paraId="0E6FC76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1407C1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523B878"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5981994"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671A2A9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Paměť</w:t>
            </w:r>
          </w:p>
        </w:tc>
        <w:tc>
          <w:tcPr>
            <w:tcW w:w="5954" w:type="dxa"/>
            <w:tcBorders>
              <w:top w:val="nil"/>
              <w:left w:val="nil"/>
              <w:bottom w:val="single" w:sz="4" w:space="0" w:color="auto"/>
              <w:right w:val="single" w:sz="4" w:space="0" w:color="auto"/>
            </w:tcBorders>
            <w:shd w:val="clear" w:color="auto" w:fill="auto"/>
            <w:noWrap/>
            <w:vAlign w:val="center"/>
            <w:hideMark/>
          </w:tcPr>
          <w:p w14:paraId="71E1BFF2" w14:textId="21F76A97"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5F260B" w:rsidRPr="005F260B">
              <w:rPr>
                <w:rFonts w:ascii="Calibri" w:eastAsia="Times New Roman" w:hAnsi="Calibri"/>
                <w:color w:val="000000"/>
                <w:sz w:val="16"/>
                <w:szCs w:val="16"/>
                <w:lang w:eastAsia="cs-CZ"/>
              </w:rPr>
              <w:t>inimálně 96 GB RAM, provozovaná minimálně na 1800 MHz</w:t>
            </w:r>
          </w:p>
        </w:tc>
        <w:tc>
          <w:tcPr>
            <w:tcW w:w="2835" w:type="dxa"/>
            <w:tcBorders>
              <w:top w:val="nil"/>
              <w:left w:val="nil"/>
              <w:bottom w:val="single" w:sz="4" w:space="0" w:color="auto"/>
              <w:right w:val="single" w:sz="4" w:space="0" w:color="auto"/>
            </w:tcBorders>
            <w:shd w:val="clear" w:color="auto" w:fill="auto"/>
            <w:noWrap/>
            <w:vAlign w:val="bottom"/>
            <w:hideMark/>
          </w:tcPr>
          <w:p w14:paraId="7C8D8AD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D154C7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33F5DEA9"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6688666"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42F8B06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Rozšiřitelnost</w:t>
            </w:r>
          </w:p>
        </w:tc>
        <w:tc>
          <w:tcPr>
            <w:tcW w:w="5954" w:type="dxa"/>
            <w:tcBorders>
              <w:top w:val="nil"/>
              <w:left w:val="nil"/>
              <w:bottom w:val="single" w:sz="4" w:space="0" w:color="auto"/>
              <w:right w:val="single" w:sz="4" w:space="0" w:color="auto"/>
            </w:tcBorders>
            <w:shd w:val="clear" w:color="auto" w:fill="auto"/>
            <w:noWrap/>
            <w:vAlign w:val="center"/>
            <w:hideMark/>
          </w:tcPr>
          <w:p w14:paraId="59932AFD" w14:textId="22D98ACC"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R</w:t>
            </w:r>
            <w:r w:rsidR="005F260B" w:rsidRPr="005F260B">
              <w:rPr>
                <w:rFonts w:ascii="Calibri" w:eastAsia="Times New Roman" w:hAnsi="Calibri"/>
                <w:color w:val="000000"/>
                <w:sz w:val="16"/>
                <w:szCs w:val="16"/>
                <w:lang w:eastAsia="cs-CZ"/>
              </w:rPr>
              <w:t>ozšiřitelnost RAM min. na 384 GB bez výměny RAM modulů</w:t>
            </w:r>
          </w:p>
        </w:tc>
        <w:tc>
          <w:tcPr>
            <w:tcW w:w="2835" w:type="dxa"/>
            <w:tcBorders>
              <w:top w:val="nil"/>
              <w:left w:val="nil"/>
              <w:bottom w:val="single" w:sz="4" w:space="0" w:color="auto"/>
              <w:right w:val="single" w:sz="4" w:space="0" w:color="auto"/>
            </w:tcBorders>
            <w:shd w:val="clear" w:color="auto" w:fill="auto"/>
            <w:noWrap/>
            <w:vAlign w:val="bottom"/>
            <w:hideMark/>
          </w:tcPr>
          <w:p w14:paraId="7DE51D2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99B4012"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25B439C"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A6BD75A"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16318F5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Úložiště </w:t>
            </w:r>
            <w:proofErr w:type="spellStart"/>
            <w:r w:rsidRPr="005F260B">
              <w:rPr>
                <w:rFonts w:ascii="Calibri" w:eastAsia="Times New Roman" w:hAnsi="Calibri"/>
                <w:color w:val="000000"/>
                <w:sz w:val="16"/>
                <w:szCs w:val="16"/>
                <w:lang w:eastAsia="cs-CZ"/>
              </w:rPr>
              <w:t>flash</w:t>
            </w:r>
            <w:proofErr w:type="spellEnd"/>
          </w:p>
        </w:tc>
        <w:tc>
          <w:tcPr>
            <w:tcW w:w="5954" w:type="dxa"/>
            <w:tcBorders>
              <w:top w:val="nil"/>
              <w:left w:val="nil"/>
              <w:bottom w:val="single" w:sz="4" w:space="0" w:color="auto"/>
              <w:right w:val="single" w:sz="4" w:space="0" w:color="auto"/>
            </w:tcBorders>
            <w:shd w:val="clear" w:color="auto" w:fill="auto"/>
            <w:noWrap/>
            <w:vAlign w:val="center"/>
            <w:hideMark/>
          </w:tcPr>
          <w:p w14:paraId="0655730C"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Konektor pro interní USB klíč a SD kartu pro </w:t>
            </w:r>
            <w:proofErr w:type="spellStart"/>
            <w:r w:rsidRPr="005F260B">
              <w:rPr>
                <w:rFonts w:ascii="Calibri" w:eastAsia="Times New Roman" w:hAnsi="Calibri"/>
                <w:color w:val="000000"/>
                <w:sz w:val="16"/>
                <w:szCs w:val="16"/>
                <w:lang w:eastAsia="cs-CZ"/>
              </w:rPr>
              <w:t>hypervizor</w:t>
            </w:r>
            <w:proofErr w:type="spellEnd"/>
            <w:r w:rsidRPr="005F260B">
              <w:rPr>
                <w:rFonts w:ascii="Calibri" w:eastAsia="Times New Roman" w:hAnsi="Calibri"/>
                <w:color w:val="000000"/>
                <w:sz w:val="16"/>
                <w:szCs w:val="16"/>
                <w:lang w:eastAsia="cs-CZ"/>
              </w:rPr>
              <w:t xml:space="preserve"> na základní desce serveru</w:t>
            </w:r>
          </w:p>
        </w:tc>
        <w:tc>
          <w:tcPr>
            <w:tcW w:w="2835" w:type="dxa"/>
            <w:tcBorders>
              <w:top w:val="nil"/>
              <w:left w:val="nil"/>
              <w:bottom w:val="single" w:sz="4" w:space="0" w:color="auto"/>
              <w:right w:val="single" w:sz="4" w:space="0" w:color="auto"/>
            </w:tcBorders>
            <w:shd w:val="clear" w:color="auto" w:fill="auto"/>
            <w:noWrap/>
            <w:vAlign w:val="bottom"/>
            <w:hideMark/>
          </w:tcPr>
          <w:p w14:paraId="172B56C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4AD95D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648499C2"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23D891E"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4DC22EB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HDD</w:t>
            </w:r>
          </w:p>
        </w:tc>
        <w:tc>
          <w:tcPr>
            <w:tcW w:w="5954" w:type="dxa"/>
            <w:tcBorders>
              <w:top w:val="nil"/>
              <w:left w:val="nil"/>
              <w:bottom w:val="single" w:sz="4" w:space="0" w:color="auto"/>
              <w:right w:val="single" w:sz="4" w:space="0" w:color="auto"/>
            </w:tcBorders>
            <w:shd w:val="clear" w:color="auto" w:fill="auto"/>
            <w:noWrap/>
            <w:vAlign w:val="center"/>
            <w:hideMark/>
          </w:tcPr>
          <w:p w14:paraId="2D882FFA" w14:textId="5940982E"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5F260B" w:rsidRPr="005F260B">
              <w:rPr>
                <w:rFonts w:ascii="Calibri" w:eastAsia="Times New Roman" w:hAnsi="Calibri"/>
                <w:color w:val="000000"/>
                <w:sz w:val="16"/>
                <w:szCs w:val="16"/>
                <w:lang w:eastAsia="cs-CZ"/>
              </w:rPr>
              <w:t xml:space="preserve">in. 2x 120 GB SSD, </w:t>
            </w:r>
            <w:proofErr w:type="spellStart"/>
            <w:r w:rsidR="005F260B" w:rsidRPr="005F260B">
              <w:rPr>
                <w:rFonts w:ascii="Calibri" w:eastAsia="Times New Roman" w:hAnsi="Calibri"/>
                <w:color w:val="000000"/>
                <w:sz w:val="16"/>
                <w:szCs w:val="16"/>
                <w:lang w:eastAsia="cs-CZ"/>
              </w:rPr>
              <w:t>enterprise</w:t>
            </w:r>
            <w:proofErr w:type="spellEnd"/>
            <w:r w:rsidR="005F260B" w:rsidRPr="005F260B">
              <w:rPr>
                <w:rFonts w:ascii="Calibri" w:eastAsia="Times New Roman" w:hAnsi="Calibri"/>
                <w:color w:val="000000"/>
                <w:sz w:val="16"/>
                <w:szCs w:val="16"/>
                <w:lang w:eastAsia="cs-CZ"/>
              </w:rPr>
              <w:t xml:space="preserve"> třídy</w:t>
            </w:r>
          </w:p>
        </w:tc>
        <w:tc>
          <w:tcPr>
            <w:tcW w:w="2835" w:type="dxa"/>
            <w:tcBorders>
              <w:top w:val="nil"/>
              <w:left w:val="nil"/>
              <w:bottom w:val="single" w:sz="4" w:space="0" w:color="auto"/>
              <w:right w:val="single" w:sz="4" w:space="0" w:color="auto"/>
            </w:tcBorders>
            <w:shd w:val="clear" w:color="auto" w:fill="auto"/>
            <w:noWrap/>
            <w:vAlign w:val="bottom"/>
            <w:hideMark/>
          </w:tcPr>
          <w:p w14:paraId="5CA5547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DA59652"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93BD0D4"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E0B9CBD"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2E88E2C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Rozšiřitelnost</w:t>
            </w:r>
          </w:p>
        </w:tc>
        <w:tc>
          <w:tcPr>
            <w:tcW w:w="5954" w:type="dxa"/>
            <w:tcBorders>
              <w:top w:val="nil"/>
              <w:left w:val="nil"/>
              <w:bottom w:val="single" w:sz="4" w:space="0" w:color="auto"/>
              <w:right w:val="single" w:sz="4" w:space="0" w:color="auto"/>
            </w:tcBorders>
            <w:shd w:val="clear" w:color="auto" w:fill="auto"/>
            <w:noWrap/>
            <w:vAlign w:val="center"/>
            <w:hideMark/>
          </w:tcPr>
          <w:p w14:paraId="54704674" w14:textId="0F510448"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5F260B" w:rsidRPr="005F260B">
              <w:rPr>
                <w:rFonts w:ascii="Calibri" w:eastAsia="Times New Roman" w:hAnsi="Calibri"/>
                <w:color w:val="000000"/>
                <w:sz w:val="16"/>
                <w:szCs w:val="16"/>
                <w:lang w:eastAsia="cs-CZ"/>
              </w:rPr>
              <w:t>in. 6 volných pozic pro budoucí rozšíření, podpora SSD</w:t>
            </w:r>
          </w:p>
        </w:tc>
        <w:tc>
          <w:tcPr>
            <w:tcW w:w="2835" w:type="dxa"/>
            <w:tcBorders>
              <w:top w:val="nil"/>
              <w:left w:val="nil"/>
              <w:bottom w:val="single" w:sz="4" w:space="0" w:color="auto"/>
              <w:right w:val="single" w:sz="4" w:space="0" w:color="auto"/>
            </w:tcBorders>
            <w:shd w:val="clear" w:color="auto" w:fill="auto"/>
            <w:noWrap/>
            <w:vAlign w:val="bottom"/>
            <w:hideMark/>
          </w:tcPr>
          <w:p w14:paraId="724BB46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D5461E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59D4F955"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6C7118E"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2DF96BC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RAID</w:t>
            </w:r>
          </w:p>
        </w:tc>
        <w:tc>
          <w:tcPr>
            <w:tcW w:w="5954" w:type="dxa"/>
            <w:tcBorders>
              <w:top w:val="nil"/>
              <w:left w:val="nil"/>
              <w:bottom w:val="single" w:sz="4" w:space="0" w:color="auto"/>
              <w:right w:val="single" w:sz="4" w:space="0" w:color="auto"/>
            </w:tcBorders>
            <w:shd w:val="clear" w:color="auto" w:fill="auto"/>
            <w:noWrap/>
            <w:vAlign w:val="center"/>
            <w:hideMark/>
          </w:tcPr>
          <w:p w14:paraId="54A94A93" w14:textId="41614A4F"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Ř</w:t>
            </w:r>
            <w:r w:rsidR="005F260B" w:rsidRPr="005F260B">
              <w:rPr>
                <w:rFonts w:ascii="Calibri" w:eastAsia="Times New Roman" w:hAnsi="Calibri"/>
                <w:color w:val="000000"/>
                <w:sz w:val="16"/>
                <w:szCs w:val="16"/>
                <w:lang w:eastAsia="cs-CZ"/>
              </w:rPr>
              <w:t>adič RAID 0,1, 10, 5</w:t>
            </w:r>
          </w:p>
        </w:tc>
        <w:tc>
          <w:tcPr>
            <w:tcW w:w="2835" w:type="dxa"/>
            <w:tcBorders>
              <w:top w:val="nil"/>
              <w:left w:val="nil"/>
              <w:bottom w:val="single" w:sz="4" w:space="0" w:color="auto"/>
              <w:right w:val="single" w:sz="4" w:space="0" w:color="auto"/>
            </w:tcBorders>
            <w:shd w:val="clear" w:color="auto" w:fill="auto"/>
            <w:noWrap/>
            <w:vAlign w:val="bottom"/>
            <w:hideMark/>
          </w:tcPr>
          <w:p w14:paraId="7D9EBE9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E02BB3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5FAE3719"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A6E0F3D"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4B4B7D7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Napájení</w:t>
            </w:r>
          </w:p>
        </w:tc>
        <w:tc>
          <w:tcPr>
            <w:tcW w:w="5954" w:type="dxa"/>
            <w:tcBorders>
              <w:top w:val="nil"/>
              <w:left w:val="nil"/>
              <w:bottom w:val="single" w:sz="4" w:space="0" w:color="auto"/>
              <w:right w:val="single" w:sz="4" w:space="0" w:color="auto"/>
            </w:tcBorders>
            <w:shd w:val="clear" w:color="auto" w:fill="auto"/>
            <w:noWrap/>
            <w:vAlign w:val="center"/>
            <w:hideMark/>
          </w:tcPr>
          <w:p w14:paraId="2A180935"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2x napájecí zdroj, redundance</w:t>
            </w:r>
          </w:p>
        </w:tc>
        <w:tc>
          <w:tcPr>
            <w:tcW w:w="2835" w:type="dxa"/>
            <w:tcBorders>
              <w:top w:val="nil"/>
              <w:left w:val="nil"/>
              <w:bottom w:val="single" w:sz="4" w:space="0" w:color="auto"/>
              <w:right w:val="single" w:sz="4" w:space="0" w:color="auto"/>
            </w:tcBorders>
            <w:shd w:val="clear" w:color="auto" w:fill="auto"/>
            <w:noWrap/>
            <w:vAlign w:val="bottom"/>
            <w:hideMark/>
          </w:tcPr>
          <w:p w14:paraId="7725EFB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56A724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544CF22B"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984B437"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33027EA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LAN porty</w:t>
            </w:r>
          </w:p>
        </w:tc>
        <w:tc>
          <w:tcPr>
            <w:tcW w:w="5954" w:type="dxa"/>
            <w:tcBorders>
              <w:top w:val="nil"/>
              <w:left w:val="nil"/>
              <w:bottom w:val="single" w:sz="4" w:space="0" w:color="auto"/>
              <w:right w:val="single" w:sz="4" w:space="0" w:color="auto"/>
            </w:tcBorders>
            <w:shd w:val="clear" w:color="auto" w:fill="auto"/>
            <w:noWrap/>
            <w:vAlign w:val="center"/>
            <w:hideMark/>
          </w:tcPr>
          <w:p w14:paraId="01C2340D"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LAN 2x10 GB SFP+, 6x 1Gb RJ-45,   s podporou virtualizace - </w:t>
            </w:r>
            <w:proofErr w:type="spellStart"/>
            <w:r w:rsidRPr="005F260B">
              <w:rPr>
                <w:rFonts w:ascii="Calibri" w:eastAsia="Times New Roman" w:hAnsi="Calibri"/>
                <w:color w:val="000000"/>
                <w:sz w:val="16"/>
                <w:szCs w:val="16"/>
                <w:lang w:eastAsia="cs-CZ"/>
              </w:rPr>
              <w:t>VMware</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NetQueue</w:t>
            </w:r>
            <w:proofErr w:type="spellEnd"/>
            <w:r w:rsidRPr="005F260B">
              <w:rPr>
                <w:rFonts w:ascii="Calibri" w:eastAsia="Times New Roman" w:hAnsi="Calibri"/>
                <w:color w:val="000000"/>
                <w:sz w:val="16"/>
                <w:szCs w:val="16"/>
                <w:lang w:eastAsia="cs-CZ"/>
              </w:rPr>
              <w:t xml:space="preserve">, Microsoft VMQ, SFP+ dále s podporou </w:t>
            </w:r>
            <w:proofErr w:type="spellStart"/>
            <w:r w:rsidRPr="005F260B">
              <w:rPr>
                <w:rFonts w:ascii="Calibri" w:eastAsia="Times New Roman" w:hAnsi="Calibri"/>
                <w:color w:val="000000"/>
                <w:sz w:val="16"/>
                <w:szCs w:val="16"/>
                <w:lang w:eastAsia="cs-CZ"/>
              </w:rPr>
              <w:t>iSCSI</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včetné</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botování</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1253869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95F9E6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32620F9F"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6F3352A"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5B4B420E"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USB porty</w:t>
            </w:r>
          </w:p>
        </w:tc>
        <w:tc>
          <w:tcPr>
            <w:tcW w:w="5954" w:type="dxa"/>
            <w:tcBorders>
              <w:top w:val="nil"/>
              <w:left w:val="nil"/>
              <w:bottom w:val="single" w:sz="4" w:space="0" w:color="auto"/>
              <w:right w:val="single" w:sz="4" w:space="0" w:color="auto"/>
            </w:tcBorders>
            <w:shd w:val="clear" w:color="auto" w:fill="auto"/>
            <w:noWrap/>
            <w:vAlign w:val="center"/>
            <w:hideMark/>
          </w:tcPr>
          <w:p w14:paraId="7131FCF5"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Min. 1x USB port na čelním panelu, možnost </w:t>
            </w:r>
            <w:proofErr w:type="spellStart"/>
            <w:r w:rsidRPr="005F260B">
              <w:rPr>
                <w:rFonts w:ascii="Calibri" w:eastAsia="Times New Roman" w:hAnsi="Calibri"/>
                <w:color w:val="000000"/>
                <w:sz w:val="16"/>
                <w:szCs w:val="16"/>
                <w:lang w:eastAsia="cs-CZ"/>
              </w:rPr>
              <w:t>bootování</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25C2361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6A2108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36D7AA23" w14:textId="77777777" w:rsidTr="008D4FC8">
        <w:trPr>
          <w:trHeight w:val="9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6FE2026"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0E24466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Vzdálená správa</w:t>
            </w:r>
          </w:p>
        </w:tc>
        <w:tc>
          <w:tcPr>
            <w:tcW w:w="5954" w:type="dxa"/>
            <w:tcBorders>
              <w:top w:val="nil"/>
              <w:left w:val="nil"/>
              <w:bottom w:val="single" w:sz="4" w:space="0" w:color="auto"/>
              <w:right w:val="single" w:sz="4" w:space="0" w:color="auto"/>
            </w:tcBorders>
            <w:shd w:val="clear" w:color="auto" w:fill="auto"/>
            <w:noWrap/>
            <w:vAlign w:val="center"/>
            <w:hideMark/>
          </w:tcPr>
          <w:p w14:paraId="20AD5C72"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Servisní modul s možnosti samostatného přístupu po management síti, možnost vzdálené klávesnice, myši a obrazovky bez nutnosti běhu OS, možnost zapínat a vypínat server, možnost </w:t>
            </w:r>
            <w:proofErr w:type="spellStart"/>
            <w:r w:rsidRPr="005F260B">
              <w:rPr>
                <w:rFonts w:ascii="Calibri" w:eastAsia="Times New Roman" w:hAnsi="Calibri"/>
                <w:color w:val="000000"/>
                <w:sz w:val="16"/>
                <w:szCs w:val="16"/>
                <w:lang w:eastAsia="cs-CZ"/>
              </w:rPr>
              <w:t>bootování</w:t>
            </w:r>
            <w:proofErr w:type="spellEnd"/>
            <w:r w:rsidRPr="005F260B">
              <w:rPr>
                <w:rFonts w:ascii="Calibri" w:eastAsia="Times New Roman" w:hAnsi="Calibri"/>
                <w:color w:val="000000"/>
                <w:sz w:val="16"/>
                <w:szCs w:val="16"/>
                <w:lang w:eastAsia="cs-CZ"/>
              </w:rPr>
              <w:t xml:space="preserve"> se vzdáleného média. Vyhrazený LAN port.</w:t>
            </w:r>
          </w:p>
        </w:tc>
        <w:tc>
          <w:tcPr>
            <w:tcW w:w="2835" w:type="dxa"/>
            <w:tcBorders>
              <w:top w:val="nil"/>
              <w:left w:val="nil"/>
              <w:bottom w:val="single" w:sz="4" w:space="0" w:color="auto"/>
              <w:right w:val="single" w:sz="4" w:space="0" w:color="auto"/>
            </w:tcBorders>
            <w:shd w:val="clear" w:color="auto" w:fill="auto"/>
            <w:noWrap/>
            <w:vAlign w:val="bottom"/>
            <w:hideMark/>
          </w:tcPr>
          <w:p w14:paraId="35C04D6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D65D63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679EFC9"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AA6D65D"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3D7A528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Kompatibilita</w:t>
            </w:r>
          </w:p>
        </w:tc>
        <w:tc>
          <w:tcPr>
            <w:tcW w:w="5954" w:type="dxa"/>
            <w:tcBorders>
              <w:top w:val="nil"/>
              <w:left w:val="nil"/>
              <w:bottom w:val="single" w:sz="4" w:space="0" w:color="auto"/>
              <w:right w:val="single" w:sz="4" w:space="0" w:color="auto"/>
            </w:tcBorders>
            <w:shd w:val="clear" w:color="auto" w:fill="auto"/>
            <w:noWrap/>
            <w:vAlign w:val="center"/>
            <w:hideMark/>
          </w:tcPr>
          <w:p w14:paraId="18BBD27E"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Podpora nejrozšířenějších operačních systémů (Windows, Linux)</w:t>
            </w:r>
          </w:p>
        </w:tc>
        <w:tc>
          <w:tcPr>
            <w:tcW w:w="2835" w:type="dxa"/>
            <w:tcBorders>
              <w:top w:val="nil"/>
              <w:left w:val="nil"/>
              <w:bottom w:val="single" w:sz="4" w:space="0" w:color="auto"/>
              <w:right w:val="single" w:sz="4" w:space="0" w:color="auto"/>
            </w:tcBorders>
            <w:shd w:val="clear" w:color="auto" w:fill="auto"/>
            <w:noWrap/>
            <w:vAlign w:val="bottom"/>
            <w:hideMark/>
          </w:tcPr>
          <w:p w14:paraId="7886E50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A0CC1F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33810A43"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EF09756"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3EEA834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Vysoká dostupnost</w:t>
            </w:r>
          </w:p>
        </w:tc>
        <w:tc>
          <w:tcPr>
            <w:tcW w:w="5954" w:type="dxa"/>
            <w:tcBorders>
              <w:top w:val="nil"/>
              <w:left w:val="nil"/>
              <w:bottom w:val="single" w:sz="4" w:space="0" w:color="auto"/>
              <w:right w:val="single" w:sz="4" w:space="0" w:color="auto"/>
            </w:tcBorders>
            <w:shd w:val="clear" w:color="auto" w:fill="auto"/>
            <w:noWrap/>
            <w:vAlign w:val="center"/>
            <w:hideMark/>
          </w:tcPr>
          <w:p w14:paraId="45BA1341"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Podpora a licence pro </w:t>
            </w:r>
            <w:proofErr w:type="spellStart"/>
            <w:r w:rsidRPr="005F260B">
              <w:rPr>
                <w:rFonts w:ascii="Calibri" w:eastAsia="Times New Roman" w:hAnsi="Calibri"/>
                <w:color w:val="000000"/>
                <w:sz w:val="16"/>
                <w:szCs w:val="16"/>
                <w:lang w:eastAsia="cs-CZ"/>
              </w:rPr>
              <w:t>clusterový</w:t>
            </w:r>
            <w:proofErr w:type="spellEnd"/>
            <w:r w:rsidRPr="005F260B">
              <w:rPr>
                <w:rFonts w:ascii="Calibri" w:eastAsia="Times New Roman" w:hAnsi="Calibri"/>
                <w:color w:val="000000"/>
                <w:sz w:val="16"/>
                <w:szCs w:val="16"/>
                <w:lang w:eastAsia="cs-CZ"/>
              </w:rPr>
              <w:t xml:space="preserve"> provoz</w:t>
            </w:r>
          </w:p>
        </w:tc>
        <w:tc>
          <w:tcPr>
            <w:tcW w:w="2835" w:type="dxa"/>
            <w:tcBorders>
              <w:top w:val="nil"/>
              <w:left w:val="nil"/>
              <w:bottom w:val="single" w:sz="4" w:space="0" w:color="auto"/>
              <w:right w:val="single" w:sz="4" w:space="0" w:color="auto"/>
            </w:tcBorders>
            <w:shd w:val="clear" w:color="auto" w:fill="auto"/>
            <w:noWrap/>
            <w:vAlign w:val="bottom"/>
            <w:hideMark/>
          </w:tcPr>
          <w:p w14:paraId="0E8178C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80283A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DABBB3F"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8738474"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02AD475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Management</w:t>
            </w:r>
          </w:p>
        </w:tc>
        <w:tc>
          <w:tcPr>
            <w:tcW w:w="5954" w:type="dxa"/>
            <w:tcBorders>
              <w:top w:val="nil"/>
              <w:left w:val="nil"/>
              <w:bottom w:val="single" w:sz="4" w:space="0" w:color="auto"/>
              <w:right w:val="single" w:sz="4" w:space="0" w:color="auto"/>
            </w:tcBorders>
            <w:shd w:val="clear" w:color="auto" w:fill="auto"/>
            <w:noWrap/>
            <w:vAlign w:val="center"/>
            <w:hideMark/>
          </w:tcPr>
          <w:p w14:paraId="4C975995"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Včetně potřebných management licencí</w:t>
            </w:r>
          </w:p>
        </w:tc>
        <w:tc>
          <w:tcPr>
            <w:tcW w:w="2835" w:type="dxa"/>
            <w:tcBorders>
              <w:top w:val="nil"/>
              <w:left w:val="nil"/>
              <w:bottom w:val="single" w:sz="4" w:space="0" w:color="auto"/>
              <w:right w:val="single" w:sz="4" w:space="0" w:color="auto"/>
            </w:tcBorders>
            <w:shd w:val="clear" w:color="auto" w:fill="auto"/>
            <w:noWrap/>
            <w:vAlign w:val="bottom"/>
            <w:hideMark/>
          </w:tcPr>
          <w:p w14:paraId="655475B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43483A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AE22279"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03B1310"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555728F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w:t>
            </w:r>
          </w:p>
        </w:tc>
        <w:tc>
          <w:tcPr>
            <w:tcW w:w="5954" w:type="dxa"/>
            <w:tcBorders>
              <w:top w:val="nil"/>
              <w:left w:val="nil"/>
              <w:bottom w:val="single" w:sz="4" w:space="0" w:color="auto"/>
              <w:right w:val="single" w:sz="4" w:space="0" w:color="auto"/>
            </w:tcBorders>
            <w:shd w:val="clear" w:color="auto" w:fill="auto"/>
            <w:noWrap/>
            <w:vAlign w:val="center"/>
            <w:hideMark/>
          </w:tcPr>
          <w:p w14:paraId="0BCBC256"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 36 měsíců, oprava následující pracovní den v místě instalace</w:t>
            </w:r>
          </w:p>
        </w:tc>
        <w:tc>
          <w:tcPr>
            <w:tcW w:w="2835" w:type="dxa"/>
            <w:tcBorders>
              <w:top w:val="nil"/>
              <w:left w:val="nil"/>
              <w:bottom w:val="single" w:sz="4" w:space="0" w:color="auto"/>
              <w:right w:val="single" w:sz="4" w:space="0" w:color="auto"/>
            </w:tcBorders>
            <w:shd w:val="clear" w:color="auto" w:fill="auto"/>
            <w:noWrap/>
            <w:vAlign w:val="bottom"/>
            <w:hideMark/>
          </w:tcPr>
          <w:p w14:paraId="22EB039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CF62B2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311348E5" w14:textId="77777777" w:rsidTr="008D4FC8">
        <w:trPr>
          <w:trHeight w:val="300"/>
        </w:trPr>
        <w:tc>
          <w:tcPr>
            <w:tcW w:w="112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0517BB6"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Rozšíření kapacit MSA</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14:paraId="6103C36A"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HDD SAS</w:t>
            </w:r>
          </w:p>
        </w:tc>
        <w:tc>
          <w:tcPr>
            <w:tcW w:w="5954" w:type="dxa"/>
            <w:tcBorders>
              <w:top w:val="single" w:sz="8" w:space="0" w:color="auto"/>
              <w:left w:val="nil"/>
              <w:bottom w:val="single" w:sz="4" w:space="0" w:color="auto"/>
              <w:right w:val="single" w:sz="4" w:space="0" w:color="auto"/>
            </w:tcBorders>
            <w:shd w:val="clear" w:color="auto" w:fill="auto"/>
            <w:noWrap/>
            <w:vAlign w:val="center"/>
            <w:hideMark/>
          </w:tcPr>
          <w:p w14:paraId="686CB297"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HDD 8x HP P2000 450GB 6G SAS 15K 3.5in ENT HDD</w:t>
            </w:r>
          </w:p>
        </w:tc>
        <w:tc>
          <w:tcPr>
            <w:tcW w:w="2835" w:type="dxa"/>
            <w:tcBorders>
              <w:top w:val="single" w:sz="8" w:space="0" w:color="auto"/>
              <w:left w:val="nil"/>
              <w:bottom w:val="single" w:sz="4" w:space="0" w:color="auto"/>
              <w:right w:val="single" w:sz="4" w:space="0" w:color="auto"/>
            </w:tcBorders>
            <w:shd w:val="clear" w:color="auto" w:fill="auto"/>
            <w:noWrap/>
            <w:vAlign w:val="bottom"/>
            <w:hideMark/>
          </w:tcPr>
          <w:p w14:paraId="2D0C391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single" w:sz="8" w:space="0" w:color="auto"/>
              <w:left w:val="nil"/>
              <w:bottom w:val="single" w:sz="4" w:space="0" w:color="auto"/>
              <w:right w:val="single" w:sz="8" w:space="0" w:color="auto"/>
            </w:tcBorders>
            <w:shd w:val="clear" w:color="auto" w:fill="auto"/>
            <w:noWrap/>
            <w:vAlign w:val="bottom"/>
            <w:hideMark/>
          </w:tcPr>
          <w:p w14:paraId="48F66F2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0C7052A" w14:textId="77777777" w:rsidTr="008D4FC8">
        <w:trPr>
          <w:trHeight w:val="300"/>
        </w:trPr>
        <w:tc>
          <w:tcPr>
            <w:tcW w:w="1124" w:type="dxa"/>
            <w:vMerge/>
            <w:tcBorders>
              <w:top w:val="single" w:sz="8" w:space="0" w:color="auto"/>
              <w:left w:val="single" w:sz="8" w:space="0" w:color="auto"/>
              <w:bottom w:val="single" w:sz="8" w:space="0" w:color="000000"/>
              <w:right w:val="single" w:sz="4" w:space="0" w:color="auto"/>
            </w:tcBorders>
            <w:vAlign w:val="center"/>
            <w:hideMark/>
          </w:tcPr>
          <w:p w14:paraId="4BE03A3B"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7426B662"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HDD SATA</w:t>
            </w:r>
          </w:p>
        </w:tc>
        <w:tc>
          <w:tcPr>
            <w:tcW w:w="5954" w:type="dxa"/>
            <w:tcBorders>
              <w:top w:val="nil"/>
              <w:left w:val="nil"/>
              <w:bottom w:val="single" w:sz="4" w:space="0" w:color="auto"/>
              <w:right w:val="single" w:sz="4" w:space="0" w:color="auto"/>
            </w:tcBorders>
            <w:shd w:val="clear" w:color="auto" w:fill="auto"/>
            <w:noWrap/>
            <w:vAlign w:val="center"/>
            <w:hideMark/>
          </w:tcPr>
          <w:p w14:paraId="0C2FBC59"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HDD 6x MSA2 1TB 7.2K </w:t>
            </w:r>
            <w:proofErr w:type="spellStart"/>
            <w:r w:rsidRPr="005F260B">
              <w:rPr>
                <w:rFonts w:ascii="Calibri" w:eastAsia="Times New Roman" w:hAnsi="Calibri"/>
                <w:color w:val="000000"/>
                <w:sz w:val="16"/>
                <w:szCs w:val="16"/>
                <w:lang w:eastAsia="cs-CZ"/>
              </w:rPr>
              <w:t>rpm</w:t>
            </w:r>
            <w:proofErr w:type="spellEnd"/>
            <w:r w:rsidRPr="005F260B">
              <w:rPr>
                <w:rFonts w:ascii="Calibri" w:eastAsia="Times New Roman" w:hAnsi="Calibri"/>
                <w:color w:val="000000"/>
                <w:sz w:val="16"/>
                <w:szCs w:val="16"/>
                <w:lang w:eastAsia="cs-CZ"/>
              </w:rPr>
              <w:t xml:space="preserve"> 3.5 </w:t>
            </w:r>
            <w:proofErr w:type="spellStart"/>
            <w:r w:rsidRPr="005F260B">
              <w:rPr>
                <w:rFonts w:ascii="Calibri" w:eastAsia="Times New Roman" w:hAnsi="Calibri"/>
                <w:color w:val="000000"/>
                <w:sz w:val="16"/>
                <w:szCs w:val="16"/>
                <w:lang w:eastAsia="cs-CZ"/>
              </w:rPr>
              <w:t>inch</w:t>
            </w:r>
            <w:proofErr w:type="spellEnd"/>
            <w:r w:rsidRPr="005F260B">
              <w:rPr>
                <w:rFonts w:ascii="Calibri" w:eastAsia="Times New Roman" w:hAnsi="Calibri"/>
                <w:color w:val="000000"/>
                <w:sz w:val="16"/>
                <w:szCs w:val="16"/>
                <w:lang w:eastAsia="cs-CZ"/>
              </w:rPr>
              <w:t xml:space="preserve"> SATA HDD</w:t>
            </w:r>
          </w:p>
        </w:tc>
        <w:tc>
          <w:tcPr>
            <w:tcW w:w="2835" w:type="dxa"/>
            <w:tcBorders>
              <w:top w:val="nil"/>
              <w:left w:val="nil"/>
              <w:bottom w:val="single" w:sz="4" w:space="0" w:color="auto"/>
              <w:right w:val="single" w:sz="4" w:space="0" w:color="auto"/>
            </w:tcBorders>
            <w:shd w:val="clear" w:color="auto" w:fill="auto"/>
            <w:noWrap/>
            <w:vAlign w:val="bottom"/>
            <w:hideMark/>
          </w:tcPr>
          <w:p w14:paraId="1E5967C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6EF98D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21AED317" w14:textId="77777777" w:rsidTr="008D4FC8">
        <w:trPr>
          <w:trHeight w:val="315"/>
        </w:trPr>
        <w:tc>
          <w:tcPr>
            <w:tcW w:w="1124" w:type="dxa"/>
            <w:vMerge/>
            <w:tcBorders>
              <w:top w:val="single" w:sz="8" w:space="0" w:color="auto"/>
              <w:left w:val="single" w:sz="8" w:space="0" w:color="auto"/>
              <w:bottom w:val="single" w:sz="8" w:space="0" w:color="000000"/>
              <w:right w:val="single" w:sz="4" w:space="0" w:color="auto"/>
            </w:tcBorders>
            <w:vAlign w:val="center"/>
            <w:hideMark/>
          </w:tcPr>
          <w:p w14:paraId="3E1DD14F"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8" w:space="0" w:color="auto"/>
              <w:right w:val="single" w:sz="8" w:space="0" w:color="auto"/>
            </w:tcBorders>
            <w:shd w:val="clear" w:color="auto" w:fill="auto"/>
            <w:noWrap/>
            <w:vAlign w:val="center"/>
            <w:hideMark/>
          </w:tcPr>
          <w:p w14:paraId="18F38E41"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w:t>
            </w:r>
          </w:p>
        </w:tc>
        <w:tc>
          <w:tcPr>
            <w:tcW w:w="5954" w:type="dxa"/>
            <w:tcBorders>
              <w:top w:val="nil"/>
              <w:left w:val="nil"/>
              <w:bottom w:val="single" w:sz="8" w:space="0" w:color="auto"/>
              <w:right w:val="single" w:sz="4" w:space="0" w:color="auto"/>
            </w:tcBorders>
            <w:shd w:val="clear" w:color="auto" w:fill="auto"/>
            <w:noWrap/>
            <w:vAlign w:val="center"/>
            <w:hideMark/>
          </w:tcPr>
          <w:p w14:paraId="52A52330"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 36 měsíců, zahrnutí do servisního programu výrobce pole</w:t>
            </w:r>
          </w:p>
        </w:tc>
        <w:tc>
          <w:tcPr>
            <w:tcW w:w="2835" w:type="dxa"/>
            <w:tcBorders>
              <w:top w:val="nil"/>
              <w:left w:val="nil"/>
              <w:bottom w:val="single" w:sz="8" w:space="0" w:color="auto"/>
              <w:right w:val="single" w:sz="4" w:space="0" w:color="auto"/>
            </w:tcBorders>
            <w:shd w:val="clear" w:color="auto" w:fill="auto"/>
            <w:noWrap/>
            <w:vAlign w:val="bottom"/>
            <w:hideMark/>
          </w:tcPr>
          <w:p w14:paraId="2443BE8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8" w:space="0" w:color="auto"/>
              <w:right w:val="single" w:sz="8" w:space="0" w:color="auto"/>
            </w:tcBorders>
            <w:shd w:val="clear" w:color="auto" w:fill="auto"/>
            <w:noWrap/>
            <w:vAlign w:val="bottom"/>
            <w:hideMark/>
          </w:tcPr>
          <w:p w14:paraId="55F135EE"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A1DF92F" w14:textId="77777777" w:rsidTr="008D4FC8">
        <w:trPr>
          <w:trHeight w:val="345"/>
        </w:trPr>
        <w:tc>
          <w:tcPr>
            <w:tcW w:w="11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E4D4D9"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Diskové úložiště</w:t>
            </w:r>
            <w:r w:rsidRPr="005F260B">
              <w:rPr>
                <w:rFonts w:ascii="Calibri" w:eastAsia="Times New Roman" w:hAnsi="Calibri"/>
                <w:b/>
                <w:bCs/>
                <w:color w:val="000000"/>
                <w:sz w:val="16"/>
                <w:szCs w:val="16"/>
                <w:lang w:eastAsia="cs-CZ"/>
              </w:rPr>
              <w:br/>
              <w:t>2 kusy</w:t>
            </w:r>
          </w:p>
        </w:tc>
        <w:tc>
          <w:tcPr>
            <w:tcW w:w="1276" w:type="dxa"/>
            <w:tcBorders>
              <w:top w:val="nil"/>
              <w:left w:val="nil"/>
              <w:bottom w:val="single" w:sz="4" w:space="0" w:color="auto"/>
              <w:right w:val="single" w:sz="8" w:space="0" w:color="auto"/>
            </w:tcBorders>
            <w:shd w:val="clear" w:color="auto" w:fill="auto"/>
            <w:noWrap/>
            <w:vAlign w:val="center"/>
            <w:hideMark/>
          </w:tcPr>
          <w:p w14:paraId="47C66B3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Provedení</w:t>
            </w:r>
          </w:p>
        </w:tc>
        <w:tc>
          <w:tcPr>
            <w:tcW w:w="5954" w:type="dxa"/>
            <w:tcBorders>
              <w:top w:val="nil"/>
              <w:left w:val="nil"/>
              <w:bottom w:val="single" w:sz="4" w:space="0" w:color="auto"/>
              <w:right w:val="single" w:sz="4" w:space="0" w:color="auto"/>
            </w:tcBorders>
            <w:shd w:val="clear" w:color="auto" w:fill="auto"/>
            <w:noWrap/>
            <w:vAlign w:val="center"/>
            <w:hideMark/>
          </w:tcPr>
          <w:p w14:paraId="220BE36A" w14:textId="7C07EC42"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D</w:t>
            </w:r>
            <w:r w:rsidR="005F260B" w:rsidRPr="005F260B">
              <w:rPr>
                <w:rFonts w:ascii="Calibri" w:eastAsia="Times New Roman" w:hAnsi="Calibri"/>
                <w:color w:val="000000"/>
                <w:sz w:val="16"/>
                <w:szCs w:val="16"/>
                <w:lang w:eastAsia="cs-CZ"/>
              </w:rPr>
              <w:t>o racku, rozměr max. 1RU, včetně montážního materiálu do racku</w:t>
            </w:r>
          </w:p>
        </w:tc>
        <w:tc>
          <w:tcPr>
            <w:tcW w:w="2835" w:type="dxa"/>
            <w:tcBorders>
              <w:top w:val="nil"/>
              <w:left w:val="nil"/>
              <w:bottom w:val="single" w:sz="4" w:space="0" w:color="auto"/>
              <w:right w:val="single" w:sz="4" w:space="0" w:color="auto"/>
            </w:tcBorders>
            <w:shd w:val="clear" w:color="auto" w:fill="auto"/>
            <w:noWrap/>
            <w:vAlign w:val="bottom"/>
            <w:hideMark/>
          </w:tcPr>
          <w:p w14:paraId="3D20297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5E3401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20ACC6A7"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AED6992"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00F7FCA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Technologie</w:t>
            </w:r>
          </w:p>
        </w:tc>
        <w:tc>
          <w:tcPr>
            <w:tcW w:w="5954" w:type="dxa"/>
            <w:tcBorders>
              <w:top w:val="nil"/>
              <w:left w:val="nil"/>
              <w:bottom w:val="single" w:sz="4" w:space="0" w:color="auto"/>
              <w:right w:val="single" w:sz="4" w:space="0" w:color="auto"/>
            </w:tcBorders>
            <w:shd w:val="clear" w:color="auto" w:fill="auto"/>
            <w:noWrap/>
            <w:vAlign w:val="center"/>
            <w:hideMark/>
          </w:tcPr>
          <w:p w14:paraId="44A45AD3" w14:textId="77777777" w:rsidR="005F260B" w:rsidRPr="005F260B" w:rsidRDefault="005F260B" w:rsidP="005F260B">
            <w:pPr>
              <w:spacing w:after="0"/>
              <w:rPr>
                <w:rFonts w:ascii="Calibri" w:eastAsia="Times New Roman" w:hAnsi="Calibri"/>
                <w:color w:val="000000"/>
                <w:sz w:val="16"/>
                <w:szCs w:val="16"/>
                <w:lang w:eastAsia="cs-CZ"/>
              </w:rPr>
            </w:pPr>
            <w:proofErr w:type="spellStart"/>
            <w:r w:rsidRPr="005F260B">
              <w:rPr>
                <w:rFonts w:ascii="Calibri" w:eastAsia="Times New Roman" w:hAnsi="Calibri"/>
                <w:color w:val="000000"/>
                <w:sz w:val="16"/>
                <w:szCs w:val="16"/>
                <w:lang w:eastAsia="cs-CZ"/>
              </w:rPr>
              <w:t>iSCSI</w:t>
            </w:r>
            <w:proofErr w:type="spellEnd"/>
            <w:r w:rsidRPr="005F260B">
              <w:rPr>
                <w:rFonts w:ascii="Calibri" w:eastAsia="Times New Roman" w:hAnsi="Calibri"/>
                <w:color w:val="000000"/>
                <w:sz w:val="16"/>
                <w:szCs w:val="16"/>
                <w:lang w:eastAsia="cs-CZ"/>
              </w:rPr>
              <w:t xml:space="preserve"> 10 </w:t>
            </w:r>
            <w:proofErr w:type="spellStart"/>
            <w:r w:rsidRPr="005F260B">
              <w:rPr>
                <w:rFonts w:ascii="Calibri" w:eastAsia="Times New Roman" w:hAnsi="Calibri"/>
                <w:color w:val="000000"/>
                <w:sz w:val="16"/>
                <w:szCs w:val="16"/>
                <w:lang w:eastAsia="cs-CZ"/>
              </w:rPr>
              <w:t>Gb</w:t>
            </w:r>
            <w:proofErr w:type="spellEnd"/>
            <w:r w:rsidRPr="005F260B">
              <w:rPr>
                <w:rFonts w:ascii="Calibri" w:eastAsia="Times New Roman" w:hAnsi="Calibri"/>
                <w:color w:val="000000"/>
                <w:sz w:val="16"/>
                <w:szCs w:val="16"/>
                <w:lang w:eastAsia="cs-CZ"/>
              </w:rPr>
              <w:t xml:space="preserve"> </w:t>
            </w:r>
          </w:p>
        </w:tc>
        <w:tc>
          <w:tcPr>
            <w:tcW w:w="2835" w:type="dxa"/>
            <w:tcBorders>
              <w:top w:val="nil"/>
              <w:left w:val="nil"/>
              <w:bottom w:val="single" w:sz="4" w:space="0" w:color="auto"/>
              <w:right w:val="single" w:sz="4" w:space="0" w:color="auto"/>
            </w:tcBorders>
            <w:shd w:val="clear" w:color="auto" w:fill="auto"/>
            <w:noWrap/>
            <w:vAlign w:val="bottom"/>
            <w:hideMark/>
          </w:tcPr>
          <w:p w14:paraId="703D276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51E263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5FAA94DA" w14:textId="77777777" w:rsidTr="008D4FC8">
        <w:trPr>
          <w:trHeight w:val="67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F4DB0D6"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0285D61E"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Virtualizace</w:t>
            </w:r>
          </w:p>
        </w:tc>
        <w:tc>
          <w:tcPr>
            <w:tcW w:w="5954" w:type="dxa"/>
            <w:tcBorders>
              <w:top w:val="nil"/>
              <w:left w:val="nil"/>
              <w:bottom w:val="single" w:sz="4" w:space="0" w:color="auto"/>
              <w:right w:val="single" w:sz="4" w:space="0" w:color="auto"/>
            </w:tcBorders>
            <w:shd w:val="clear" w:color="auto" w:fill="auto"/>
            <w:noWrap/>
            <w:vAlign w:val="center"/>
            <w:hideMark/>
          </w:tcPr>
          <w:p w14:paraId="6373DE3D" w14:textId="27DBF498"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 xml:space="preserve">lně </w:t>
            </w:r>
            <w:proofErr w:type="spellStart"/>
            <w:r w:rsidR="005F260B" w:rsidRPr="005F260B">
              <w:rPr>
                <w:rFonts w:ascii="Calibri" w:eastAsia="Times New Roman" w:hAnsi="Calibri"/>
                <w:color w:val="000000"/>
                <w:sz w:val="16"/>
                <w:szCs w:val="16"/>
                <w:lang w:eastAsia="cs-CZ"/>
              </w:rPr>
              <w:t>virtualizované</w:t>
            </w:r>
            <w:proofErr w:type="spellEnd"/>
            <w:r w:rsidR="005F260B" w:rsidRPr="005F260B">
              <w:rPr>
                <w:rFonts w:ascii="Calibri" w:eastAsia="Times New Roman" w:hAnsi="Calibri"/>
                <w:color w:val="000000"/>
                <w:sz w:val="16"/>
                <w:szCs w:val="16"/>
                <w:lang w:eastAsia="cs-CZ"/>
              </w:rPr>
              <w:t xml:space="preserve"> úložiště - více úložišť se chová jako jedno logické z pohledu správy i připojených zařízení, umožňuje vysokou dostupnost - </w:t>
            </w:r>
            <w:proofErr w:type="spellStart"/>
            <w:r w:rsidR="005F260B" w:rsidRPr="005F260B">
              <w:rPr>
                <w:rFonts w:ascii="Calibri" w:eastAsia="Times New Roman" w:hAnsi="Calibri"/>
                <w:color w:val="000000"/>
                <w:sz w:val="16"/>
                <w:szCs w:val="16"/>
                <w:lang w:eastAsia="cs-CZ"/>
              </w:rPr>
              <w:t>failover</w:t>
            </w:r>
            <w:proofErr w:type="spellEnd"/>
            <w:r w:rsidR="005F260B" w:rsidRPr="005F260B">
              <w:rPr>
                <w:rFonts w:ascii="Calibri" w:eastAsia="Times New Roman" w:hAnsi="Calibri"/>
                <w:color w:val="000000"/>
                <w:sz w:val="16"/>
                <w:szCs w:val="16"/>
                <w:lang w:eastAsia="cs-CZ"/>
              </w:rPr>
              <w:t xml:space="preserve"> bez přerušení provozu serverů</w:t>
            </w:r>
          </w:p>
        </w:tc>
        <w:tc>
          <w:tcPr>
            <w:tcW w:w="2835" w:type="dxa"/>
            <w:tcBorders>
              <w:top w:val="nil"/>
              <w:left w:val="nil"/>
              <w:bottom w:val="single" w:sz="4" w:space="0" w:color="auto"/>
              <w:right w:val="single" w:sz="4" w:space="0" w:color="auto"/>
            </w:tcBorders>
            <w:shd w:val="clear" w:color="auto" w:fill="auto"/>
            <w:noWrap/>
            <w:vAlign w:val="bottom"/>
            <w:hideMark/>
          </w:tcPr>
          <w:p w14:paraId="6F21C3D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D6325B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6D288B1B"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E1D5207"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35E0A06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Kapacita</w:t>
            </w:r>
          </w:p>
        </w:tc>
        <w:tc>
          <w:tcPr>
            <w:tcW w:w="5954" w:type="dxa"/>
            <w:tcBorders>
              <w:top w:val="nil"/>
              <w:left w:val="nil"/>
              <w:bottom w:val="single" w:sz="4" w:space="0" w:color="auto"/>
              <w:right w:val="single" w:sz="4" w:space="0" w:color="auto"/>
            </w:tcBorders>
            <w:shd w:val="clear" w:color="auto" w:fill="auto"/>
            <w:noWrap/>
            <w:vAlign w:val="center"/>
            <w:hideMark/>
          </w:tcPr>
          <w:p w14:paraId="05772CD3" w14:textId="7A3ED351"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5F260B" w:rsidRPr="005F260B">
              <w:rPr>
                <w:rFonts w:ascii="Calibri" w:eastAsia="Times New Roman" w:hAnsi="Calibri"/>
                <w:color w:val="000000"/>
                <w:sz w:val="16"/>
                <w:szCs w:val="16"/>
                <w:lang w:eastAsia="cs-CZ"/>
              </w:rPr>
              <w:t>in. 7 TB RAW</w:t>
            </w:r>
          </w:p>
        </w:tc>
        <w:tc>
          <w:tcPr>
            <w:tcW w:w="2835" w:type="dxa"/>
            <w:tcBorders>
              <w:top w:val="nil"/>
              <w:left w:val="nil"/>
              <w:bottom w:val="single" w:sz="4" w:space="0" w:color="auto"/>
              <w:right w:val="single" w:sz="4" w:space="0" w:color="auto"/>
            </w:tcBorders>
            <w:shd w:val="clear" w:color="auto" w:fill="auto"/>
            <w:noWrap/>
            <w:vAlign w:val="bottom"/>
            <w:hideMark/>
          </w:tcPr>
          <w:p w14:paraId="47FF491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7A4825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6E507217"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76D8CA9"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50BA00FE"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Výkon</w:t>
            </w:r>
          </w:p>
        </w:tc>
        <w:tc>
          <w:tcPr>
            <w:tcW w:w="5954" w:type="dxa"/>
            <w:tcBorders>
              <w:top w:val="nil"/>
              <w:left w:val="nil"/>
              <w:bottom w:val="single" w:sz="4" w:space="0" w:color="auto"/>
              <w:right w:val="single" w:sz="4" w:space="0" w:color="auto"/>
            </w:tcBorders>
            <w:shd w:val="clear" w:color="auto" w:fill="auto"/>
            <w:noWrap/>
            <w:vAlign w:val="center"/>
            <w:hideMark/>
          </w:tcPr>
          <w:p w14:paraId="0AC4E2B3" w14:textId="7A28A1EC"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R</w:t>
            </w:r>
            <w:r w:rsidR="005F260B" w:rsidRPr="005F260B">
              <w:rPr>
                <w:rFonts w:ascii="Calibri" w:eastAsia="Times New Roman" w:hAnsi="Calibri"/>
                <w:color w:val="000000"/>
                <w:sz w:val="16"/>
                <w:szCs w:val="16"/>
                <w:lang w:eastAsia="cs-CZ"/>
              </w:rPr>
              <w:t xml:space="preserve">otační výkon odpovídající min. 8x HDD SAS 10000 </w:t>
            </w:r>
            <w:proofErr w:type="spellStart"/>
            <w:r w:rsidR="005F260B" w:rsidRPr="005F260B">
              <w:rPr>
                <w:rFonts w:ascii="Calibri" w:eastAsia="Times New Roman" w:hAnsi="Calibri"/>
                <w:color w:val="000000"/>
                <w:sz w:val="16"/>
                <w:szCs w:val="16"/>
                <w:lang w:eastAsia="cs-CZ"/>
              </w:rPr>
              <w:t>ot</w:t>
            </w:r>
            <w:proofErr w:type="spellEnd"/>
            <w:r w:rsidR="005F260B" w:rsidRPr="005F260B">
              <w:rPr>
                <w:rFonts w:ascii="Calibri" w:eastAsia="Times New Roman" w:hAnsi="Calibri"/>
                <w:color w:val="000000"/>
                <w:sz w:val="16"/>
                <w:szCs w:val="16"/>
                <w:lang w:eastAsia="cs-CZ"/>
              </w:rPr>
              <w:t>./min</w:t>
            </w:r>
          </w:p>
        </w:tc>
        <w:tc>
          <w:tcPr>
            <w:tcW w:w="2835" w:type="dxa"/>
            <w:tcBorders>
              <w:top w:val="nil"/>
              <w:left w:val="nil"/>
              <w:bottom w:val="single" w:sz="4" w:space="0" w:color="auto"/>
              <w:right w:val="single" w:sz="4" w:space="0" w:color="auto"/>
            </w:tcBorders>
            <w:shd w:val="clear" w:color="auto" w:fill="auto"/>
            <w:noWrap/>
            <w:vAlign w:val="bottom"/>
            <w:hideMark/>
          </w:tcPr>
          <w:p w14:paraId="3E39990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2AFD37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3D19D8C"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F35D1D8"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6EC01E1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Vyrovnávací paměť</w:t>
            </w:r>
          </w:p>
        </w:tc>
        <w:tc>
          <w:tcPr>
            <w:tcW w:w="5954" w:type="dxa"/>
            <w:tcBorders>
              <w:top w:val="nil"/>
              <w:left w:val="nil"/>
              <w:bottom w:val="single" w:sz="4" w:space="0" w:color="auto"/>
              <w:right w:val="single" w:sz="4" w:space="0" w:color="auto"/>
            </w:tcBorders>
            <w:shd w:val="clear" w:color="auto" w:fill="auto"/>
            <w:noWrap/>
            <w:vAlign w:val="center"/>
            <w:hideMark/>
          </w:tcPr>
          <w:p w14:paraId="5B5025C9" w14:textId="306B257C"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Z</w:t>
            </w:r>
            <w:r w:rsidR="005F260B" w:rsidRPr="005F260B">
              <w:rPr>
                <w:rFonts w:ascii="Calibri" w:eastAsia="Times New Roman" w:hAnsi="Calibri"/>
                <w:color w:val="000000"/>
                <w:sz w:val="16"/>
                <w:szCs w:val="16"/>
                <w:lang w:eastAsia="cs-CZ"/>
              </w:rPr>
              <w:t>álohovaná, min. 2GB / řadič</w:t>
            </w:r>
          </w:p>
        </w:tc>
        <w:tc>
          <w:tcPr>
            <w:tcW w:w="2835" w:type="dxa"/>
            <w:tcBorders>
              <w:top w:val="nil"/>
              <w:left w:val="nil"/>
              <w:bottom w:val="single" w:sz="4" w:space="0" w:color="auto"/>
              <w:right w:val="single" w:sz="4" w:space="0" w:color="auto"/>
            </w:tcBorders>
            <w:shd w:val="clear" w:color="auto" w:fill="auto"/>
            <w:noWrap/>
            <w:vAlign w:val="bottom"/>
            <w:hideMark/>
          </w:tcPr>
          <w:p w14:paraId="2CC6758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4985A6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A3FE01E"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B960C87"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566B7CD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Ochrana dat</w:t>
            </w:r>
          </w:p>
        </w:tc>
        <w:tc>
          <w:tcPr>
            <w:tcW w:w="5954" w:type="dxa"/>
            <w:tcBorders>
              <w:top w:val="nil"/>
              <w:left w:val="nil"/>
              <w:bottom w:val="single" w:sz="4" w:space="0" w:color="auto"/>
              <w:right w:val="single" w:sz="4" w:space="0" w:color="auto"/>
            </w:tcBorders>
            <w:shd w:val="clear" w:color="auto" w:fill="auto"/>
            <w:noWrap/>
            <w:vAlign w:val="center"/>
            <w:hideMark/>
          </w:tcPr>
          <w:p w14:paraId="74A24B14"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RAID min. 5,6, 10 pro interní disky</w:t>
            </w:r>
          </w:p>
        </w:tc>
        <w:tc>
          <w:tcPr>
            <w:tcW w:w="2835" w:type="dxa"/>
            <w:tcBorders>
              <w:top w:val="nil"/>
              <w:left w:val="nil"/>
              <w:bottom w:val="single" w:sz="4" w:space="0" w:color="auto"/>
              <w:right w:val="single" w:sz="4" w:space="0" w:color="auto"/>
            </w:tcBorders>
            <w:shd w:val="clear" w:color="auto" w:fill="auto"/>
            <w:noWrap/>
            <w:vAlign w:val="bottom"/>
            <w:hideMark/>
          </w:tcPr>
          <w:p w14:paraId="112736D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86F208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2A326B70"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F85A928"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15B7173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Ochrana dat</w:t>
            </w:r>
          </w:p>
        </w:tc>
        <w:tc>
          <w:tcPr>
            <w:tcW w:w="5954" w:type="dxa"/>
            <w:tcBorders>
              <w:top w:val="nil"/>
              <w:left w:val="nil"/>
              <w:bottom w:val="single" w:sz="4" w:space="0" w:color="auto"/>
              <w:right w:val="single" w:sz="4" w:space="0" w:color="auto"/>
            </w:tcBorders>
            <w:shd w:val="clear" w:color="auto" w:fill="auto"/>
            <w:noWrap/>
            <w:vAlign w:val="center"/>
            <w:hideMark/>
          </w:tcPr>
          <w:p w14:paraId="2C031903"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RAIN (</w:t>
            </w:r>
            <w:proofErr w:type="spellStart"/>
            <w:r w:rsidRPr="005F260B">
              <w:rPr>
                <w:rFonts w:ascii="Calibri" w:eastAsia="Times New Roman" w:hAnsi="Calibri"/>
                <w:color w:val="000000"/>
                <w:sz w:val="16"/>
                <w:szCs w:val="16"/>
                <w:lang w:eastAsia="cs-CZ"/>
              </w:rPr>
              <w:t>Redundant</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Array</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of</w:t>
            </w:r>
            <w:proofErr w:type="spellEnd"/>
            <w:r w:rsidRPr="005F260B">
              <w:rPr>
                <w:rFonts w:ascii="Calibri" w:eastAsia="Times New Roman" w:hAnsi="Calibri"/>
                <w:color w:val="000000"/>
                <w:sz w:val="16"/>
                <w:szCs w:val="16"/>
                <w:lang w:eastAsia="cs-CZ"/>
              </w:rPr>
              <w:t xml:space="preserve"> Independent </w:t>
            </w:r>
            <w:proofErr w:type="spellStart"/>
            <w:r w:rsidRPr="005F260B">
              <w:rPr>
                <w:rFonts w:ascii="Calibri" w:eastAsia="Times New Roman" w:hAnsi="Calibri"/>
                <w:color w:val="000000"/>
                <w:sz w:val="16"/>
                <w:szCs w:val="16"/>
                <w:lang w:eastAsia="cs-CZ"/>
              </w:rPr>
              <w:t>Nodes</w:t>
            </w:r>
            <w:proofErr w:type="spellEnd"/>
            <w:r w:rsidRPr="005F260B">
              <w:rPr>
                <w:rFonts w:ascii="Calibri" w:eastAsia="Times New Roman" w:hAnsi="Calibri"/>
                <w:color w:val="000000"/>
                <w:sz w:val="16"/>
                <w:szCs w:val="16"/>
                <w:lang w:eastAsia="cs-CZ"/>
              </w:rPr>
              <w:t>) – síťový RAID mezi úložišti 5,6,10</w:t>
            </w:r>
          </w:p>
        </w:tc>
        <w:tc>
          <w:tcPr>
            <w:tcW w:w="2835" w:type="dxa"/>
            <w:tcBorders>
              <w:top w:val="nil"/>
              <w:left w:val="nil"/>
              <w:bottom w:val="single" w:sz="4" w:space="0" w:color="auto"/>
              <w:right w:val="single" w:sz="4" w:space="0" w:color="auto"/>
            </w:tcBorders>
            <w:shd w:val="clear" w:color="auto" w:fill="auto"/>
            <w:noWrap/>
            <w:vAlign w:val="bottom"/>
            <w:hideMark/>
          </w:tcPr>
          <w:p w14:paraId="0DE3551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5452F3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C5CABAE"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B508293"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0AAE27E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Konektivita</w:t>
            </w:r>
          </w:p>
        </w:tc>
        <w:tc>
          <w:tcPr>
            <w:tcW w:w="5954" w:type="dxa"/>
            <w:tcBorders>
              <w:top w:val="nil"/>
              <w:left w:val="nil"/>
              <w:bottom w:val="single" w:sz="4" w:space="0" w:color="auto"/>
              <w:right w:val="single" w:sz="4" w:space="0" w:color="auto"/>
            </w:tcBorders>
            <w:shd w:val="clear" w:color="auto" w:fill="auto"/>
            <w:noWrap/>
            <w:vAlign w:val="center"/>
            <w:hideMark/>
          </w:tcPr>
          <w:p w14:paraId="563DB557" w14:textId="59AC75A5" w:rsidR="005F260B" w:rsidRPr="005F260B" w:rsidRDefault="005D2539"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 xml:space="preserve">rimární min. 2x 10Gb, záložní min. 4x 1 </w:t>
            </w:r>
            <w:proofErr w:type="spellStart"/>
            <w:r w:rsidR="005F260B" w:rsidRPr="005F260B">
              <w:rPr>
                <w:rFonts w:ascii="Calibri" w:eastAsia="Times New Roman" w:hAnsi="Calibri"/>
                <w:color w:val="000000"/>
                <w:sz w:val="16"/>
                <w:szCs w:val="16"/>
                <w:lang w:eastAsia="cs-CZ"/>
              </w:rPr>
              <w:t>Gb</w:t>
            </w:r>
            <w:proofErr w:type="spellEnd"/>
            <w:r w:rsidR="005F260B" w:rsidRPr="005F260B">
              <w:rPr>
                <w:rFonts w:ascii="Calibri" w:eastAsia="Times New Roman" w:hAnsi="Calibri"/>
                <w:color w:val="000000"/>
                <w:sz w:val="16"/>
                <w:szCs w:val="16"/>
                <w:lang w:eastAsia="cs-CZ"/>
              </w:rPr>
              <w:t>,  vyhrazený port pro vzdálenou správu</w:t>
            </w:r>
          </w:p>
        </w:tc>
        <w:tc>
          <w:tcPr>
            <w:tcW w:w="2835" w:type="dxa"/>
            <w:tcBorders>
              <w:top w:val="nil"/>
              <w:left w:val="nil"/>
              <w:bottom w:val="single" w:sz="4" w:space="0" w:color="auto"/>
              <w:right w:val="single" w:sz="4" w:space="0" w:color="auto"/>
            </w:tcBorders>
            <w:shd w:val="clear" w:color="auto" w:fill="auto"/>
            <w:noWrap/>
            <w:vAlign w:val="bottom"/>
            <w:hideMark/>
          </w:tcPr>
          <w:p w14:paraId="18629E1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A57261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FE47D32"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A32E098"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7CDEEB6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Správa dat</w:t>
            </w:r>
          </w:p>
        </w:tc>
        <w:tc>
          <w:tcPr>
            <w:tcW w:w="5954" w:type="dxa"/>
            <w:tcBorders>
              <w:top w:val="nil"/>
              <w:left w:val="nil"/>
              <w:bottom w:val="single" w:sz="4" w:space="0" w:color="auto"/>
              <w:right w:val="single" w:sz="4" w:space="0" w:color="auto"/>
            </w:tcBorders>
            <w:shd w:val="clear" w:color="auto" w:fill="auto"/>
            <w:noWrap/>
            <w:vAlign w:val="center"/>
            <w:hideMark/>
          </w:tcPr>
          <w:p w14:paraId="0EF9B380"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Podpora </w:t>
            </w:r>
            <w:proofErr w:type="spellStart"/>
            <w:r w:rsidRPr="005F260B">
              <w:rPr>
                <w:rFonts w:ascii="Calibri" w:eastAsia="Times New Roman" w:hAnsi="Calibri"/>
                <w:color w:val="000000"/>
                <w:sz w:val="16"/>
                <w:szCs w:val="16"/>
                <w:lang w:eastAsia="cs-CZ"/>
              </w:rPr>
              <w:t>snapshotů</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thin</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provisioningu</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1C67EA5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9954E2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3696202"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BA3BC23"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23753D72"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Kompatibilita</w:t>
            </w:r>
          </w:p>
        </w:tc>
        <w:tc>
          <w:tcPr>
            <w:tcW w:w="5954" w:type="dxa"/>
            <w:tcBorders>
              <w:top w:val="nil"/>
              <w:left w:val="nil"/>
              <w:bottom w:val="single" w:sz="4" w:space="0" w:color="auto"/>
              <w:right w:val="single" w:sz="4" w:space="0" w:color="auto"/>
            </w:tcBorders>
            <w:shd w:val="clear" w:color="auto" w:fill="auto"/>
            <w:noWrap/>
            <w:vAlign w:val="center"/>
            <w:hideMark/>
          </w:tcPr>
          <w:p w14:paraId="63C2F0C4"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Podpora výrobce pro obvyklé virtualizační technologie – min. Hyper-V, </w:t>
            </w:r>
            <w:proofErr w:type="spellStart"/>
            <w:r w:rsidRPr="005F260B">
              <w:rPr>
                <w:rFonts w:ascii="Calibri" w:eastAsia="Times New Roman" w:hAnsi="Calibri"/>
                <w:color w:val="000000"/>
                <w:sz w:val="16"/>
                <w:szCs w:val="16"/>
                <w:lang w:eastAsia="cs-CZ"/>
              </w:rPr>
              <w:t>VMware</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489B6B7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D75988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A688986"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CE1E74E"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7173697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Optimalizace</w:t>
            </w:r>
          </w:p>
        </w:tc>
        <w:tc>
          <w:tcPr>
            <w:tcW w:w="5954" w:type="dxa"/>
            <w:tcBorders>
              <w:top w:val="nil"/>
              <w:left w:val="nil"/>
              <w:bottom w:val="single" w:sz="4" w:space="0" w:color="auto"/>
              <w:right w:val="single" w:sz="4" w:space="0" w:color="auto"/>
            </w:tcBorders>
            <w:shd w:val="clear" w:color="auto" w:fill="auto"/>
            <w:noWrap/>
            <w:vAlign w:val="center"/>
            <w:hideMark/>
          </w:tcPr>
          <w:p w14:paraId="73A2A531"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Firmware provozovaný přímo na hardware pole, bez </w:t>
            </w:r>
            <w:proofErr w:type="spellStart"/>
            <w:r w:rsidRPr="005F260B">
              <w:rPr>
                <w:rFonts w:ascii="Calibri" w:eastAsia="Times New Roman" w:hAnsi="Calibri"/>
                <w:color w:val="000000"/>
                <w:sz w:val="16"/>
                <w:szCs w:val="16"/>
                <w:lang w:eastAsia="cs-CZ"/>
              </w:rPr>
              <w:t>virtualizačního</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hypervizoru</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41A83F6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E958DA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6ADCAA09"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770C0B5"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5B9DB04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Management</w:t>
            </w:r>
          </w:p>
        </w:tc>
        <w:tc>
          <w:tcPr>
            <w:tcW w:w="5954" w:type="dxa"/>
            <w:tcBorders>
              <w:top w:val="nil"/>
              <w:left w:val="nil"/>
              <w:bottom w:val="single" w:sz="4" w:space="0" w:color="auto"/>
              <w:right w:val="single" w:sz="4" w:space="0" w:color="auto"/>
            </w:tcBorders>
            <w:shd w:val="clear" w:color="auto" w:fill="auto"/>
            <w:noWrap/>
            <w:vAlign w:val="center"/>
            <w:hideMark/>
          </w:tcPr>
          <w:p w14:paraId="4B815DED"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Možnost </w:t>
            </w:r>
            <w:proofErr w:type="spellStart"/>
            <w:r w:rsidRPr="005F260B">
              <w:rPr>
                <w:rFonts w:ascii="Calibri" w:eastAsia="Times New Roman" w:hAnsi="Calibri"/>
                <w:color w:val="000000"/>
                <w:sz w:val="16"/>
                <w:szCs w:val="16"/>
                <w:lang w:eastAsia="cs-CZ"/>
              </w:rPr>
              <w:t>bezodstávkové</w:t>
            </w:r>
            <w:proofErr w:type="spellEnd"/>
            <w:r w:rsidRPr="005F260B">
              <w:rPr>
                <w:rFonts w:ascii="Calibri" w:eastAsia="Times New Roman" w:hAnsi="Calibri"/>
                <w:color w:val="000000"/>
                <w:sz w:val="16"/>
                <w:szCs w:val="16"/>
                <w:lang w:eastAsia="cs-CZ"/>
              </w:rPr>
              <w:t xml:space="preserve"> aktualizace firmware</w:t>
            </w:r>
          </w:p>
        </w:tc>
        <w:tc>
          <w:tcPr>
            <w:tcW w:w="2835" w:type="dxa"/>
            <w:tcBorders>
              <w:top w:val="nil"/>
              <w:left w:val="nil"/>
              <w:bottom w:val="single" w:sz="4" w:space="0" w:color="auto"/>
              <w:right w:val="single" w:sz="4" w:space="0" w:color="auto"/>
            </w:tcBorders>
            <w:shd w:val="clear" w:color="auto" w:fill="auto"/>
            <w:noWrap/>
            <w:vAlign w:val="bottom"/>
            <w:hideMark/>
          </w:tcPr>
          <w:p w14:paraId="3CFD32C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891C26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2224429"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E73FE53"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32F0951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Management</w:t>
            </w:r>
          </w:p>
        </w:tc>
        <w:tc>
          <w:tcPr>
            <w:tcW w:w="5954" w:type="dxa"/>
            <w:tcBorders>
              <w:top w:val="nil"/>
              <w:left w:val="nil"/>
              <w:bottom w:val="single" w:sz="4" w:space="0" w:color="auto"/>
              <w:right w:val="single" w:sz="4" w:space="0" w:color="auto"/>
            </w:tcBorders>
            <w:shd w:val="clear" w:color="auto" w:fill="auto"/>
            <w:noWrap/>
            <w:vAlign w:val="center"/>
            <w:hideMark/>
          </w:tcPr>
          <w:p w14:paraId="52944C26"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Centrální správa logického </w:t>
            </w:r>
            <w:proofErr w:type="spellStart"/>
            <w:r w:rsidRPr="005F260B">
              <w:rPr>
                <w:rFonts w:ascii="Calibri" w:eastAsia="Times New Roman" w:hAnsi="Calibri"/>
                <w:color w:val="000000"/>
                <w:sz w:val="16"/>
                <w:szCs w:val="16"/>
                <w:lang w:eastAsia="cs-CZ"/>
              </w:rPr>
              <w:t>virtualizovaného</w:t>
            </w:r>
            <w:proofErr w:type="spellEnd"/>
            <w:r w:rsidRPr="005F260B">
              <w:rPr>
                <w:rFonts w:ascii="Calibri" w:eastAsia="Times New Roman" w:hAnsi="Calibri"/>
                <w:color w:val="000000"/>
                <w:sz w:val="16"/>
                <w:szCs w:val="16"/>
                <w:lang w:eastAsia="cs-CZ"/>
              </w:rPr>
              <w:t xml:space="preserve"> úložiště pomocí grafického nástroje i  CLI (příkazový řádek, skripty)</w:t>
            </w:r>
          </w:p>
        </w:tc>
        <w:tc>
          <w:tcPr>
            <w:tcW w:w="2835" w:type="dxa"/>
            <w:tcBorders>
              <w:top w:val="nil"/>
              <w:left w:val="nil"/>
              <w:bottom w:val="single" w:sz="4" w:space="0" w:color="auto"/>
              <w:right w:val="single" w:sz="4" w:space="0" w:color="auto"/>
            </w:tcBorders>
            <w:shd w:val="clear" w:color="auto" w:fill="auto"/>
            <w:noWrap/>
            <w:vAlign w:val="bottom"/>
            <w:hideMark/>
          </w:tcPr>
          <w:p w14:paraId="1E3A41D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BFDC95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7E290BC" w14:textId="77777777" w:rsidTr="008D4FC8">
        <w:trPr>
          <w:trHeight w:val="450"/>
        </w:trPr>
        <w:tc>
          <w:tcPr>
            <w:tcW w:w="1124" w:type="dxa"/>
            <w:vMerge/>
            <w:tcBorders>
              <w:top w:val="single" w:sz="8" w:space="0" w:color="auto"/>
              <w:left w:val="single" w:sz="8" w:space="0" w:color="auto"/>
              <w:bottom w:val="single" w:sz="4" w:space="0" w:color="auto"/>
              <w:right w:val="single" w:sz="8" w:space="0" w:color="auto"/>
            </w:tcBorders>
            <w:vAlign w:val="center"/>
            <w:hideMark/>
          </w:tcPr>
          <w:p w14:paraId="479D90CA"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02C8828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Rozšiřující licence</w:t>
            </w:r>
          </w:p>
        </w:tc>
        <w:tc>
          <w:tcPr>
            <w:tcW w:w="5954" w:type="dxa"/>
            <w:tcBorders>
              <w:top w:val="nil"/>
              <w:left w:val="nil"/>
              <w:bottom w:val="single" w:sz="4" w:space="0" w:color="auto"/>
              <w:right w:val="single" w:sz="4" w:space="0" w:color="auto"/>
            </w:tcBorders>
            <w:shd w:val="clear" w:color="auto" w:fill="auto"/>
            <w:noWrap/>
            <w:vAlign w:val="center"/>
            <w:hideMark/>
          </w:tcPr>
          <w:p w14:paraId="61454E03"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Licence pro </w:t>
            </w:r>
            <w:proofErr w:type="spellStart"/>
            <w:r w:rsidRPr="005F260B">
              <w:rPr>
                <w:rFonts w:ascii="Calibri" w:eastAsia="Times New Roman" w:hAnsi="Calibri"/>
                <w:color w:val="000000"/>
                <w:sz w:val="16"/>
                <w:szCs w:val="16"/>
                <w:lang w:eastAsia="cs-CZ"/>
              </w:rPr>
              <w:t>virtualizaci</w:t>
            </w:r>
            <w:proofErr w:type="spellEnd"/>
            <w:r w:rsidRPr="005F260B">
              <w:rPr>
                <w:rFonts w:ascii="Calibri" w:eastAsia="Times New Roman" w:hAnsi="Calibri"/>
                <w:color w:val="000000"/>
                <w:sz w:val="16"/>
                <w:szCs w:val="16"/>
                <w:lang w:eastAsia="cs-CZ"/>
              </w:rPr>
              <w:t xml:space="preserve"> dvou stávajících diskových úložišť (min. 20 TB každé) a jejich zahrnutí do společného RAIN s nabízenými úložiště.</w:t>
            </w:r>
          </w:p>
        </w:tc>
        <w:tc>
          <w:tcPr>
            <w:tcW w:w="2835" w:type="dxa"/>
            <w:tcBorders>
              <w:top w:val="nil"/>
              <w:left w:val="nil"/>
              <w:bottom w:val="single" w:sz="4" w:space="0" w:color="auto"/>
              <w:right w:val="single" w:sz="4" w:space="0" w:color="auto"/>
            </w:tcBorders>
            <w:shd w:val="clear" w:color="auto" w:fill="auto"/>
            <w:noWrap/>
            <w:vAlign w:val="bottom"/>
            <w:hideMark/>
          </w:tcPr>
          <w:p w14:paraId="3ACEAD6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5DFDB0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F168114" w14:textId="77777777" w:rsidTr="008D4FC8">
        <w:trPr>
          <w:trHeight w:val="690"/>
        </w:trPr>
        <w:tc>
          <w:tcPr>
            <w:tcW w:w="1124" w:type="dxa"/>
            <w:vMerge/>
            <w:tcBorders>
              <w:top w:val="single" w:sz="4" w:space="0" w:color="auto"/>
              <w:left w:val="single" w:sz="8" w:space="0" w:color="auto"/>
              <w:bottom w:val="single" w:sz="8" w:space="0" w:color="000000"/>
              <w:right w:val="single" w:sz="8" w:space="0" w:color="auto"/>
            </w:tcBorders>
            <w:vAlign w:val="center"/>
            <w:hideMark/>
          </w:tcPr>
          <w:p w14:paraId="69D73311"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14:paraId="7FCF0AE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w:t>
            </w: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14:paraId="44E27086" w14:textId="357DD4F4"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5F260B" w:rsidRPr="005F260B">
              <w:rPr>
                <w:rFonts w:ascii="Calibri" w:eastAsia="Times New Roman" w:hAnsi="Calibri"/>
                <w:color w:val="000000"/>
                <w:sz w:val="16"/>
                <w:szCs w:val="16"/>
                <w:lang w:eastAsia="cs-CZ"/>
              </w:rPr>
              <w:t>in. 36 měsíců, oprava následující pracovní den v místě instalace a nárok na podporu výrobce a nové verze firmware, včetně rozšiřujících licencí</w:t>
            </w:r>
          </w:p>
        </w:tc>
        <w:tc>
          <w:tcPr>
            <w:tcW w:w="2835" w:type="dxa"/>
            <w:tcBorders>
              <w:top w:val="single" w:sz="4" w:space="0" w:color="auto"/>
              <w:left w:val="nil"/>
              <w:bottom w:val="single" w:sz="8" w:space="0" w:color="auto"/>
              <w:right w:val="single" w:sz="4" w:space="0" w:color="auto"/>
            </w:tcBorders>
            <w:shd w:val="clear" w:color="auto" w:fill="auto"/>
            <w:noWrap/>
            <w:vAlign w:val="bottom"/>
            <w:hideMark/>
          </w:tcPr>
          <w:p w14:paraId="3E03A37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single" w:sz="4" w:space="0" w:color="auto"/>
              <w:left w:val="nil"/>
              <w:bottom w:val="single" w:sz="8" w:space="0" w:color="auto"/>
              <w:right w:val="single" w:sz="8" w:space="0" w:color="auto"/>
            </w:tcBorders>
            <w:shd w:val="clear" w:color="auto" w:fill="auto"/>
            <w:noWrap/>
            <w:vAlign w:val="bottom"/>
            <w:hideMark/>
          </w:tcPr>
          <w:p w14:paraId="2CA2DD7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65106F3E" w14:textId="77777777" w:rsidTr="008D4FC8">
        <w:trPr>
          <w:trHeight w:val="300"/>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1D62E995"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Síťový prvek</w:t>
            </w:r>
            <w:r w:rsidRPr="005F260B">
              <w:rPr>
                <w:rFonts w:ascii="Calibri" w:eastAsia="Times New Roman" w:hAnsi="Calibri"/>
                <w:b/>
                <w:bCs/>
                <w:color w:val="000000"/>
                <w:sz w:val="16"/>
                <w:szCs w:val="16"/>
                <w:lang w:eastAsia="cs-CZ"/>
              </w:rPr>
              <w:br/>
              <w:t>3 kusy</w:t>
            </w:r>
          </w:p>
        </w:tc>
        <w:tc>
          <w:tcPr>
            <w:tcW w:w="1276" w:type="dxa"/>
            <w:tcBorders>
              <w:top w:val="nil"/>
              <w:left w:val="nil"/>
              <w:bottom w:val="single" w:sz="4" w:space="0" w:color="auto"/>
              <w:right w:val="single" w:sz="8" w:space="0" w:color="auto"/>
            </w:tcBorders>
            <w:shd w:val="clear" w:color="000000" w:fill="D9D9D9"/>
            <w:noWrap/>
            <w:vAlign w:val="center"/>
            <w:hideMark/>
          </w:tcPr>
          <w:p w14:paraId="76A7C2C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Společné požadavky</w:t>
            </w:r>
          </w:p>
        </w:tc>
        <w:tc>
          <w:tcPr>
            <w:tcW w:w="5954" w:type="dxa"/>
            <w:tcBorders>
              <w:top w:val="nil"/>
              <w:left w:val="nil"/>
              <w:bottom w:val="single" w:sz="4" w:space="0" w:color="auto"/>
              <w:right w:val="single" w:sz="4" w:space="0" w:color="auto"/>
            </w:tcBorders>
            <w:shd w:val="clear" w:color="000000" w:fill="D9D9D9"/>
            <w:noWrap/>
            <w:vAlign w:val="center"/>
            <w:hideMark/>
          </w:tcPr>
          <w:p w14:paraId="1CE861B4"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835" w:type="dxa"/>
            <w:tcBorders>
              <w:top w:val="nil"/>
              <w:left w:val="nil"/>
              <w:bottom w:val="single" w:sz="4" w:space="0" w:color="auto"/>
              <w:right w:val="single" w:sz="4" w:space="0" w:color="auto"/>
            </w:tcBorders>
            <w:shd w:val="clear" w:color="auto" w:fill="auto"/>
            <w:noWrap/>
            <w:vAlign w:val="bottom"/>
            <w:hideMark/>
          </w:tcPr>
          <w:p w14:paraId="19F8F15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E502E62"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5C72FCE"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288914A"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0C3A8FB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Provedení</w:t>
            </w:r>
          </w:p>
        </w:tc>
        <w:tc>
          <w:tcPr>
            <w:tcW w:w="5954" w:type="dxa"/>
            <w:tcBorders>
              <w:top w:val="nil"/>
              <w:left w:val="nil"/>
              <w:bottom w:val="single" w:sz="4" w:space="0" w:color="auto"/>
              <w:right w:val="single" w:sz="4" w:space="0" w:color="auto"/>
            </w:tcBorders>
            <w:shd w:val="clear" w:color="auto" w:fill="auto"/>
            <w:noWrap/>
            <w:vAlign w:val="center"/>
            <w:hideMark/>
          </w:tcPr>
          <w:p w14:paraId="3DA80C10" w14:textId="5F8EFF5A"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D</w:t>
            </w:r>
            <w:r w:rsidR="005F260B" w:rsidRPr="005F260B">
              <w:rPr>
                <w:rFonts w:ascii="Calibri" w:eastAsia="Times New Roman" w:hAnsi="Calibri"/>
                <w:color w:val="000000"/>
                <w:sz w:val="16"/>
                <w:szCs w:val="16"/>
                <w:lang w:eastAsia="cs-CZ"/>
              </w:rPr>
              <w:t>o racku, rozměr max. 1RU, včetně montážního materiálu do racku</w:t>
            </w:r>
          </w:p>
        </w:tc>
        <w:tc>
          <w:tcPr>
            <w:tcW w:w="2835" w:type="dxa"/>
            <w:tcBorders>
              <w:top w:val="nil"/>
              <w:left w:val="nil"/>
              <w:bottom w:val="single" w:sz="4" w:space="0" w:color="auto"/>
              <w:right w:val="single" w:sz="4" w:space="0" w:color="auto"/>
            </w:tcBorders>
            <w:shd w:val="clear" w:color="auto" w:fill="auto"/>
            <w:noWrap/>
            <w:vAlign w:val="bottom"/>
            <w:hideMark/>
          </w:tcPr>
          <w:p w14:paraId="72E39E92"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147424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1CF52B9"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581D5A5"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60EDCC5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Základní specifikace</w:t>
            </w:r>
          </w:p>
        </w:tc>
        <w:tc>
          <w:tcPr>
            <w:tcW w:w="5954" w:type="dxa"/>
            <w:tcBorders>
              <w:top w:val="nil"/>
              <w:left w:val="nil"/>
              <w:bottom w:val="single" w:sz="4" w:space="0" w:color="auto"/>
              <w:right w:val="single" w:sz="4" w:space="0" w:color="auto"/>
            </w:tcBorders>
            <w:shd w:val="clear" w:color="auto" w:fill="auto"/>
            <w:noWrap/>
            <w:vAlign w:val="center"/>
            <w:hideMark/>
          </w:tcPr>
          <w:p w14:paraId="1DC4342B" w14:textId="373C2BBA" w:rsidR="005F260B" w:rsidRPr="005F260B" w:rsidRDefault="00CE347D" w:rsidP="005F260B">
            <w:pPr>
              <w:spacing w:after="0"/>
              <w:rPr>
                <w:rFonts w:ascii="Calibri" w:eastAsia="Times New Roman" w:hAnsi="Calibri"/>
                <w:color w:val="000000"/>
                <w:sz w:val="16"/>
                <w:szCs w:val="16"/>
                <w:lang w:eastAsia="cs-CZ"/>
              </w:rPr>
            </w:pPr>
            <w:proofErr w:type="spellStart"/>
            <w:r>
              <w:rPr>
                <w:rFonts w:ascii="Calibri" w:eastAsia="Times New Roman" w:hAnsi="Calibri"/>
                <w:color w:val="000000"/>
                <w:sz w:val="16"/>
                <w:szCs w:val="16"/>
                <w:lang w:eastAsia="cs-CZ"/>
              </w:rPr>
              <w:t>S</w:t>
            </w:r>
            <w:r w:rsidR="005F260B" w:rsidRPr="005F260B">
              <w:rPr>
                <w:rFonts w:ascii="Calibri" w:eastAsia="Times New Roman" w:hAnsi="Calibri"/>
                <w:color w:val="000000"/>
                <w:sz w:val="16"/>
                <w:szCs w:val="16"/>
                <w:lang w:eastAsia="cs-CZ"/>
              </w:rPr>
              <w:t>pravovatelný</w:t>
            </w:r>
            <w:proofErr w:type="spellEnd"/>
            <w:r w:rsidR="005F260B" w:rsidRPr="005F260B">
              <w:rPr>
                <w:rFonts w:ascii="Calibri" w:eastAsia="Times New Roman" w:hAnsi="Calibri"/>
                <w:color w:val="000000"/>
                <w:sz w:val="16"/>
                <w:szCs w:val="16"/>
                <w:lang w:eastAsia="cs-CZ"/>
              </w:rPr>
              <w:t xml:space="preserve"> L2/L3 síťový přepínač </w:t>
            </w:r>
          </w:p>
        </w:tc>
        <w:tc>
          <w:tcPr>
            <w:tcW w:w="2835" w:type="dxa"/>
            <w:tcBorders>
              <w:top w:val="nil"/>
              <w:left w:val="nil"/>
              <w:bottom w:val="single" w:sz="4" w:space="0" w:color="auto"/>
              <w:right w:val="single" w:sz="4" w:space="0" w:color="auto"/>
            </w:tcBorders>
            <w:shd w:val="clear" w:color="auto" w:fill="auto"/>
            <w:noWrap/>
            <w:vAlign w:val="bottom"/>
            <w:hideMark/>
          </w:tcPr>
          <w:p w14:paraId="0B1208F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DEE160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C06C98E"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49A550AF"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66151C5E"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Směrování</w:t>
            </w:r>
          </w:p>
        </w:tc>
        <w:tc>
          <w:tcPr>
            <w:tcW w:w="5954" w:type="dxa"/>
            <w:tcBorders>
              <w:top w:val="nil"/>
              <w:left w:val="nil"/>
              <w:bottom w:val="single" w:sz="4" w:space="0" w:color="auto"/>
              <w:right w:val="single" w:sz="4" w:space="0" w:color="auto"/>
            </w:tcBorders>
            <w:shd w:val="clear" w:color="auto" w:fill="auto"/>
            <w:noWrap/>
            <w:vAlign w:val="center"/>
            <w:hideMark/>
          </w:tcPr>
          <w:p w14:paraId="52EE3756" w14:textId="61D0B788"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odpora směrování a dynamických směrovacích protokolů (alespoň RIPv2 a OSPF)</w:t>
            </w:r>
          </w:p>
        </w:tc>
        <w:tc>
          <w:tcPr>
            <w:tcW w:w="2835" w:type="dxa"/>
            <w:tcBorders>
              <w:top w:val="nil"/>
              <w:left w:val="nil"/>
              <w:bottom w:val="single" w:sz="4" w:space="0" w:color="auto"/>
              <w:right w:val="single" w:sz="4" w:space="0" w:color="auto"/>
            </w:tcBorders>
            <w:shd w:val="clear" w:color="auto" w:fill="auto"/>
            <w:noWrap/>
            <w:vAlign w:val="bottom"/>
            <w:hideMark/>
          </w:tcPr>
          <w:p w14:paraId="17CDBB6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A9A499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08E948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B6F04EF"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7D1D0F1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Řízení kvality služeb</w:t>
            </w:r>
          </w:p>
        </w:tc>
        <w:tc>
          <w:tcPr>
            <w:tcW w:w="5954" w:type="dxa"/>
            <w:tcBorders>
              <w:top w:val="nil"/>
              <w:left w:val="nil"/>
              <w:bottom w:val="single" w:sz="4" w:space="0" w:color="auto"/>
              <w:right w:val="single" w:sz="4" w:space="0" w:color="auto"/>
            </w:tcBorders>
            <w:shd w:val="clear" w:color="auto" w:fill="auto"/>
            <w:noWrap/>
            <w:vAlign w:val="center"/>
            <w:hideMark/>
          </w:tcPr>
          <w:p w14:paraId="5ED84C54" w14:textId="55F311DF"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 xml:space="preserve">odpora </w:t>
            </w:r>
            <w:proofErr w:type="spellStart"/>
            <w:r w:rsidR="005F260B" w:rsidRPr="005F260B">
              <w:rPr>
                <w:rFonts w:ascii="Calibri" w:eastAsia="Times New Roman" w:hAnsi="Calibri"/>
                <w:color w:val="000000"/>
                <w:sz w:val="16"/>
                <w:szCs w:val="16"/>
                <w:lang w:eastAsia="cs-CZ"/>
              </w:rPr>
              <w:t>QoS</w:t>
            </w:r>
            <w:proofErr w:type="spellEnd"/>
            <w:r w:rsidR="005F260B" w:rsidRPr="005F260B">
              <w:rPr>
                <w:rFonts w:ascii="Calibri" w:eastAsia="Times New Roman" w:hAnsi="Calibri"/>
                <w:color w:val="000000"/>
                <w:sz w:val="16"/>
                <w:szCs w:val="16"/>
                <w:lang w:eastAsia="cs-CZ"/>
              </w:rPr>
              <w:t xml:space="preserve"> (min. 8 front na port)</w:t>
            </w:r>
          </w:p>
        </w:tc>
        <w:tc>
          <w:tcPr>
            <w:tcW w:w="2835" w:type="dxa"/>
            <w:tcBorders>
              <w:top w:val="nil"/>
              <w:left w:val="nil"/>
              <w:bottom w:val="single" w:sz="4" w:space="0" w:color="auto"/>
              <w:right w:val="single" w:sz="4" w:space="0" w:color="auto"/>
            </w:tcBorders>
            <w:shd w:val="clear" w:color="auto" w:fill="auto"/>
            <w:noWrap/>
            <w:vAlign w:val="bottom"/>
            <w:hideMark/>
          </w:tcPr>
          <w:p w14:paraId="2AF5193E"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7D63A7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02E8AAA"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8E47441"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7F4CB57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Bezpečnost</w:t>
            </w:r>
          </w:p>
        </w:tc>
        <w:tc>
          <w:tcPr>
            <w:tcW w:w="5954" w:type="dxa"/>
            <w:tcBorders>
              <w:top w:val="nil"/>
              <w:left w:val="nil"/>
              <w:bottom w:val="single" w:sz="4" w:space="0" w:color="auto"/>
              <w:right w:val="single" w:sz="4" w:space="0" w:color="auto"/>
            </w:tcBorders>
            <w:shd w:val="clear" w:color="auto" w:fill="auto"/>
            <w:noWrap/>
            <w:vAlign w:val="center"/>
            <w:hideMark/>
          </w:tcPr>
          <w:p w14:paraId="3CDA2D29" w14:textId="78AD1C07"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odpora 802.1x</w:t>
            </w:r>
          </w:p>
        </w:tc>
        <w:tc>
          <w:tcPr>
            <w:tcW w:w="2835" w:type="dxa"/>
            <w:tcBorders>
              <w:top w:val="nil"/>
              <w:left w:val="nil"/>
              <w:bottom w:val="single" w:sz="4" w:space="0" w:color="auto"/>
              <w:right w:val="single" w:sz="4" w:space="0" w:color="auto"/>
            </w:tcBorders>
            <w:shd w:val="clear" w:color="auto" w:fill="auto"/>
            <w:noWrap/>
            <w:vAlign w:val="bottom"/>
            <w:hideMark/>
          </w:tcPr>
          <w:p w14:paraId="190347D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DE8346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2994486"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48A6749"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5CA938F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Pokročilé směrování</w:t>
            </w:r>
          </w:p>
        </w:tc>
        <w:tc>
          <w:tcPr>
            <w:tcW w:w="5954" w:type="dxa"/>
            <w:tcBorders>
              <w:top w:val="nil"/>
              <w:left w:val="nil"/>
              <w:bottom w:val="single" w:sz="4" w:space="0" w:color="auto"/>
              <w:right w:val="single" w:sz="4" w:space="0" w:color="auto"/>
            </w:tcBorders>
            <w:shd w:val="clear" w:color="auto" w:fill="auto"/>
            <w:noWrap/>
            <w:vAlign w:val="center"/>
            <w:hideMark/>
          </w:tcPr>
          <w:p w14:paraId="62FAD5E2" w14:textId="73BA4A8D"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odpora MPLS a VPLS</w:t>
            </w:r>
          </w:p>
        </w:tc>
        <w:tc>
          <w:tcPr>
            <w:tcW w:w="2835" w:type="dxa"/>
            <w:tcBorders>
              <w:top w:val="nil"/>
              <w:left w:val="nil"/>
              <w:bottom w:val="single" w:sz="4" w:space="0" w:color="auto"/>
              <w:right w:val="single" w:sz="4" w:space="0" w:color="auto"/>
            </w:tcBorders>
            <w:shd w:val="clear" w:color="auto" w:fill="auto"/>
            <w:noWrap/>
            <w:vAlign w:val="bottom"/>
            <w:hideMark/>
          </w:tcPr>
          <w:p w14:paraId="4BEC38D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04E302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7F131DE"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1CE676B0"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506405A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VLAN</w:t>
            </w:r>
          </w:p>
        </w:tc>
        <w:tc>
          <w:tcPr>
            <w:tcW w:w="5954" w:type="dxa"/>
            <w:tcBorders>
              <w:top w:val="nil"/>
              <w:left w:val="nil"/>
              <w:bottom w:val="single" w:sz="4" w:space="0" w:color="auto"/>
              <w:right w:val="single" w:sz="4" w:space="0" w:color="auto"/>
            </w:tcBorders>
            <w:shd w:val="clear" w:color="auto" w:fill="auto"/>
            <w:noWrap/>
            <w:vAlign w:val="center"/>
            <w:hideMark/>
          </w:tcPr>
          <w:p w14:paraId="28395E43" w14:textId="22386AF7"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odpora min. 1024 aktivních VLAN a to včetně L3 směrovaných rozhraní</w:t>
            </w:r>
          </w:p>
        </w:tc>
        <w:tc>
          <w:tcPr>
            <w:tcW w:w="2835" w:type="dxa"/>
            <w:tcBorders>
              <w:top w:val="nil"/>
              <w:left w:val="nil"/>
              <w:bottom w:val="single" w:sz="4" w:space="0" w:color="auto"/>
              <w:right w:val="single" w:sz="4" w:space="0" w:color="auto"/>
            </w:tcBorders>
            <w:shd w:val="clear" w:color="auto" w:fill="auto"/>
            <w:noWrap/>
            <w:vAlign w:val="bottom"/>
            <w:hideMark/>
          </w:tcPr>
          <w:p w14:paraId="3BE2099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996596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56DA0C2"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B12DCE1"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6DB0654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IPv6</w:t>
            </w:r>
          </w:p>
        </w:tc>
        <w:tc>
          <w:tcPr>
            <w:tcW w:w="5954" w:type="dxa"/>
            <w:tcBorders>
              <w:top w:val="nil"/>
              <w:left w:val="nil"/>
              <w:bottom w:val="single" w:sz="4" w:space="0" w:color="auto"/>
              <w:right w:val="single" w:sz="4" w:space="0" w:color="auto"/>
            </w:tcBorders>
            <w:shd w:val="clear" w:color="auto" w:fill="auto"/>
            <w:noWrap/>
            <w:vAlign w:val="center"/>
            <w:hideMark/>
          </w:tcPr>
          <w:p w14:paraId="232B1257" w14:textId="7C4AE4D7"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 xml:space="preserve">lný </w:t>
            </w:r>
            <w:proofErr w:type="spellStart"/>
            <w:r w:rsidR="005F260B" w:rsidRPr="005F260B">
              <w:rPr>
                <w:rFonts w:ascii="Calibri" w:eastAsia="Times New Roman" w:hAnsi="Calibri"/>
                <w:color w:val="000000"/>
                <w:sz w:val="16"/>
                <w:szCs w:val="16"/>
                <w:lang w:eastAsia="cs-CZ"/>
              </w:rPr>
              <w:t>dual</w:t>
            </w:r>
            <w:proofErr w:type="spellEnd"/>
            <w:r w:rsidR="005F260B" w:rsidRPr="005F260B">
              <w:rPr>
                <w:rFonts w:ascii="Calibri" w:eastAsia="Times New Roman" w:hAnsi="Calibri"/>
                <w:color w:val="000000"/>
                <w:sz w:val="16"/>
                <w:szCs w:val="16"/>
                <w:lang w:eastAsia="cs-CZ"/>
              </w:rPr>
              <w:t xml:space="preserve"> </w:t>
            </w:r>
            <w:proofErr w:type="spellStart"/>
            <w:r w:rsidR="005F260B" w:rsidRPr="005F260B">
              <w:rPr>
                <w:rFonts w:ascii="Calibri" w:eastAsia="Times New Roman" w:hAnsi="Calibri"/>
                <w:color w:val="000000"/>
                <w:sz w:val="16"/>
                <w:szCs w:val="16"/>
                <w:lang w:eastAsia="cs-CZ"/>
              </w:rPr>
              <w:t>stack</w:t>
            </w:r>
            <w:proofErr w:type="spellEnd"/>
            <w:r w:rsidR="005F260B" w:rsidRPr="005F260B">
              <w:rPr>
                <w:rFonts w:ascii="Calibri" w:eastAsia="Times New Roman" w:hAnsi="Calibri"/>
                <w:color w:val="000000"/>
                <w:sz w:val="16"/>
                <w:szCs w:val="16"/>
                <w:lang w:eastAsia="cs-CZ"/>
              </w:rPr>
              <w:t xml:space="preserve"> IPv4 a IPv6 včetně všech dynamického směrování</w:t>
            </w:r>
          </w:p>
        </w:tc>
        <w:tc>
          <w:tcPr>
            <w:tcW w:w="2835" w:type="dxa"/>
            <w:tcBorders>
              <w:top w:val="nil"/>
              <w:left w:val="nil"/>
              <w:bottom w:val="single" w:sz="4" w:space="0" w:color="auto"/>
              <w:right w:val="single" w:sz="4" w:space="0" w:color="auto"/>
            </w:tcBorders>
            <w:shd w:val="clear" w:color="auto" w:fill="auto"/>
            <w:noWrap/>
            <w:vAlign w:val="bottom"/>
            <w:hideMark/>
          </w:tcPr>
          <w:p w14:paraId="466B65A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1278D8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50D76E2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9BCD9BD"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3CFA086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Správa</w:t>
            </w:r>
          </w:p>
        </w:tc>
        <w:tc>
          <w:tcPr>
            <w:tcW w:w="5954" w:type="dxa"/>
            <w:tcBorders>
              <w:top w:val="nil"/>
              <w:left w:val="nil"/>
              <w:bottom w:val="single" w:sz="4" w:space="0" w:color="auto"/>
              <w:right w:val="single" w:sz="4" w:space="0" w:color="auto"/>
            </w:tcBorders>
            <w:shd w:val="clear" w:color="auto" w:fill="auto"/>
            <w:noWrap/>
            <w:vAlign w:val="center"/>
            <w:hideMark/>
          </w:tcPr>
          <w:p w14:paraId="5F20D146" w14:textId="2B6A81BB"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 xml:space="preserve">odpora SNMP, </w:t>
            </w:r>
            <w:proofErr w:type="spellStart"/>
            <w:r w:rsidR="005F260B" w:rsidRPr="005F260B">
              <w:rPr>
                <w:rFonts w:ascii="Calibri" w:eastAsia="Times New Roman" w:hAnsi="Calibri"/>
                <w:color w:val="000000"/>
                <w:sz w:val="16"/>
                <w:szCs w:val="16"/>
                <w:lang w:eastAsia="cs-CZ"/>
              </w:rPr>
              <w:t>Syslog</w:t>
            </w:r>
            <w:proofErr w:type="spellEnd"/>
            <w:r w:rsidR="005F260B" w:rsidRPr="005F260B">
              <w:rPr>
                <w:rFonts w:ascii="Calibri" w:eastAsia="Times New Roman" w:hAnsi="Calibri"/>
                <w:color w:val="000000"/>
                <w:sz w:val="16"/>
                <w:szCs w:val="16"/>
                <w:lang w:eastAsia="cs-CZ"/>
              </w:rPr>
              <w:t>, CLI</w:t>
            </w:r>
          </w:p>
        </w:tc>
        <w:tc>
          <w:tcPr>
            <w:tcW w:w="2835" w:type="dxa"/>
            <w:tcBorders>
              <w:top w:val="nil"/>
              <w:left w:val="nil"/>
              <w:bottom w:val="single" w:sz="4" w:space="0" w:color="auto"/>
              <w:right w:val="single" w:sz="4" w:space="0" w:color="auto"/>
            </w:tcBorders>
            <w:shd w:val="clear" w:color="auto" w:fill="auto"/>
            <w:noWrap/>
            <w:vAlign w:val="bottom"/>
            <w:hideMark/>
          </w:tcPr>
          <w:p w14:paraId="09094852"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42815C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2C5AB52E"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3A963E5"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446A3BF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Redundance</w:t>
            </w:r>
          </w:p>
        </w:tc>
        <w:tc>
          <w:tcPr>
            <w:tcW w:w="5954" w:type="dxa"/>
            <w:tcBorders>
              <w:top w:val="nil"/>
              <w:left w:val="nil"/>
              <w:bottom w:val="single" w:sz="4" w:space="0" w:color="auto"/>
              <w:right w:val="single" w:sz="4" w:space="0" w:color="auto"/>
            </w:tcBorders>
            <w:shd w:val="clear" w:color="auto" w:fill="auto"/>
            <w:noWrap/>
            <w:vAlign w:val="center"/>
            <w:hideMark/>
          </w:tcPr>
          <w:p w14:paraId="3A8AF1E8" w14:textId="7D5F131D"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5F260B" w:rsidRPr="005F260B">
              <w:rPr>
                <w:rFonts w:ascii="Calibri" w:eastAsia="Times New Roman" w:hAnsi="Calibri"/>
                <w:color w:val="000000"/>
                <w:sz w:val="16"/>
                <w:szCs w:val="16"/>
                <w:lang w:eastAsia="cs-CZ"/>
              </w:rPr>
              <w:t>ožnost interního redundantní napájecí zdroje</w:t>
            </w:r>
          </w:p>
        </w:tc>
        <w:tc>
          <w:tcPr>
            <w:tcW w:w="2835" w:type="dxa"/>
            <w:tcBorders>
              <w:top w:val="nil"/>
              <w:left w:val="nil"/>
              <w:bottom w:val="single" w:sz="4" w:space="0" w:color="auto"/>
              <w:right w:val="single" w:sz="4" w:space="0" w:color="auto"/>
            </w:tcBorders>
            <w:shd w:val="clear" w:color="auto" w:fill="auto"/>
            <w:noWrap/>
            <w:vAlign w:val="bottom"/>
            <w:hideMark/>
          </w:tcPr>
          <w:p w14:paraId="7F6F2B3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6D8F5C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319290BF"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EE57B48"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34B73D4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Propustnost</w:t>
            </w:r>
          </w:p>
        </w:tc>
        <w:tc>
          <w:tcPr>
            <w:tcW w:w="5954" w:type="dxa"/>
            <w:tcBorders>
              <w:top w:val="nil"/>
              <w:left w:val="nil"/>
              <w:bottom w:val="single" w:sz="4" w:space="0" w:color="auto"/>
              <w:right w:val="single" w:sz="4" w:space="0" w:color="auto"/>
            </w:tcBorders>
            <w:shd w:val="clear" w:color="auto" w:fill="auto"/>
            <w:noWrap/>
            <w:vAlign w:val="center"/>
            <w:hideMark/>
          </w:tcPr>
          <w:p w14:paraId="74B637CF"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Výkon alespoň 170 </w:t>
            </w:r>
            <w:proofErr w:type="spellStart"/>
            <w:r w:rsidRPr="005F260B">
              <w:rPr>
                <w:rFonts w:ascii="Calibri" w:eastAsia="Times New Roman" w:hAnsi="Calibri"/>
                <w:color w:val="000000"/>
                <w:sz w:val="16"/>
                <w:szCs w:val="16"/>
                <w:lang w:eastAsia="cs-CZ"/>
              </w:rPr>
              <w:t>Gb</w:t>
            </w:r>
            <w:proofErr w:type="spellEnd"/>
            <w:r w:rsidRPr="005F260B">
              <w:rPr>
                <w:rFonts w:ascii="Calibri" w:eastAsia="Times New Roman" w:hAnsi="Calibri"/>
                <w:color w:val="000000"/>
                <w:sz w:val="16"/>
                <w:szCs w:val="16"/>
                <w:lang w:eastAsia="cs-CZ"/>
              </w:rPr>
              <w:t>/sec</w:t>
            </w:r>
          </w:p>
        </w:tc>
        <w:tc>
          <w:tcPr>
            <w:tcW w:w="2835" w:type="dxa"/>
            <w:tcBorders>
              <w:top w:val="nil"/>
              <w:left w:val="nil"/>
              <w:bottom w:val="single" w:sz="4" w:space="0" w:color="auto"/>
              <w:right w:val="single" w:sz="4" w:space="0" w:color="auto"/>
            </w:tcBorders>
            <w:shd w:val="clear" w:color="auto" w:fill="auto"/>
            <w:noWrap/>
            <w:vAlign w:val="bottom"/>
            <w:hideMark/>
          </w:tcPr>
          <w:p w14:paraId="0D8805C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65337D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2E93B91" w14:textId="77777777" w:rsidTr="008D4FC8">
        <w:trPr>
          <w:trHeight w:val="1125"/>
        </w:trPr>
        <w:tc>
          <w:tcPr>
            <w:tcW w:w="1124" w:type="dxa"/>
            <w:vMerge/>
            <w:tcBorders>
              <w:top w:val="nil"/>
              <w:left w:val="single" w:sz="8" w:space="0" w:color="auto"/>
              <w:bottom w:val="single" w:sz="8" w:space="0" w:color="000000"/>
              <w:right w:val="single" w:sz="8" w:space="0" w:color="auto"/>
            </w:tcBorders>
            <w:vAlign w:val="center"/>
            <w:hideMark/>
          </w:tcPr>
          <w:p w14:paraId="5EC7AE1A"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2D6EF68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Rozšířené stohování</w:t>
            </w:r>
          </w:p>
        </w:tc>
        <w:tc>
          <w:tcPr>
            <w:tcW w:w="5954" w:type="dxa"/>
            <w:tcBorders>
              <w:top w:val="nil"/>
              <w:left w:val="nil"/>
              <w:bottom w:val="single" w:sz="4" w:space="0" w:color="auto"/>
              <w:right w:val="single" w:sz="4" w:space="0" w:color="auto"/>
            </w:tcBorders>
            <w:shd w:val="clear" w:color="auto" w:fill="auto"/>
            <w:noWrap/>
            <w:vAlign w:val="center"/>
            <w:hideMark/>
          </w:tcPr>
          <w:p w14:paraId="14F5A0FF" w14:textId="6C100D2F" w:rsidR="005F260B" w:rsidRPr="005F260B" w:rsidRDefault="00CE347D" w:rsidP="00134EBC">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odpora virtuálních šasi – více (min. 4) přepínačů lze konfigurovat jako jeden L2/L3 přepínač/</w:t>
            </w:r>
            <w:proofErr w:type="spellStart"/>
            <w:r w:rsidR="005F260B" w:rsidRPr="005F260B">
              <w:rPr>
                <w:rFonts w:ascii="Calibri" w:eastAsia="Times New Roman" w:hAnsi="Calibri"/>
                <w:color w:val="000000"/>
                <w:sz w:val="16"/>
                <w:szCs w:val="16"/>
                <w:lang w:eastAsia="cs-CZ"/>
              </w:rPr>
              <w:t>router</w:t>
            </w:r>
            <w:proofErr w:type="spellEnd"/>
            <w:r w:rsidR="005F260B" w:rsidRPr="005F260B">
              <w:rPr>
                <w:rFonts w:ascii="Calibri" w:eastAsia="Times New Roman" w:hAnsi="Calibri"/>
                <w:color w:val="000000"/>
                <w:sz w:val="16"/>
                <w:szCs w:val="16"/>
                <w:lang w:eastAsia="cs-CZ"/>
              </w:rPr>
              <w:t xml:space="preserve"> z pohledu připojených zařízení i z pohledu správy. Podpora LACP, podpora rozkládání zátěže, vysoké dostupnost i</w:t>
            </w:r>
            <w:r w:rsidR="005D2539">
              <w:rPr>
                <w:rFonts w:ascii="Calibri" w:eastAsia="Times New Roman" w:hAnsi="Calibri"/>
                <w:color w:val="000000"/>
                <w:sz w:val="16"/>
                <w:szCs w:val="16"/>
                <w:lang w:eastAsia="cs-CZ"/>
              </w:rPr>
              <w:t xml:space="preserve"> </w:t>
            </w:r>
            <w:r w:rsidR="005F260B" w:rsidRPr="005F260B">
              <w:rPr>
                <w:rFonts w:ascii="Calibri" w:eastAsia="Times New Roman" w:hAnsi="Calibri"/>
                <w:color w:val="000000"/>
                <w:sz w:val="16"/>
                <w:szCs w:val="16"/>
                <w:lang w:eastAsia="cs-CZ"/>
              </w:rPr>
              <w:t>napříč virtuálním šasi. Technologie ekvivalentní s technologi</w:t>
            </w:r>
            <w:r w:rsidR="00134EBC">
              <w:rPr>
                <w:rFonts w:ascii="Calibri" w:eastAsia="Times New Roman" w:hAnsi="Calibri"/>
                <w:color w:val="000000"/>
                <w:sz w:val="16"/>
                <w:szCs w:val="16"/>
                <w:lang w:eastAsia="cs-CZ"/>
              </w:rPr>
              <w:t xml:space="preserve">emi VSS, IRF, </w:t>
            </w:r>
            <w:proofErr w:type="spellStart"/>
            <w:r w:rsidR="00134EBC">
              <w:rPr>
                <w:rFonts w:ascii="Calibri" w:eastAsia="Times New Roman" w:hAnsi="Calibri"/>
                <w:color w:val="000000"/>
                <w:sz w:val="16"/>
                <w:szCs w:val="16"/>
                <w:lang w:eastAsia="cs-CZ"/>
              </w:rPr>
              <w:t>VirtualChasis</w:t>
            </w:r>
            <w:proofErr w:type="spellEnd"/>
            <w:r w:rsidR="00134EBC">
              <w:rPr>
                <w:rFonts w:ascii="Calibri" w:eastAsia="Times New Roman" w:hAnsi="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noWrap/>
            <w:vAlign w:val="bottom"/>
            <w:hideMark/>
          </w:tcPr>
          <w:p w14:paraId="2E2E105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835617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8A84174"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789F16FE"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0A420F1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Rozšířené stohování</w:t>
            </w:r>
          </w:p>
        </w:tc>
        <w:tc>
          <w:tcPr>
            <w:tcW w:w="5954" w:type="dxa"/>
            <w:tcBorders>
              <w:top w:val="nil"/>
              <w:left w:val="nil"/>
              <w:bottom w:val="single" w:sz="4" w:space="0" w:color="auto"/>
              <w:right w:val="single" w:sz="4" w:space="0" w:color="auto"/>
            </w:tcBorders>
            <w:shd w:val="clear" w:color="auto" w:fill="auto"/>
            <w:noWrap/>
            <w:vAlign w:val="center"/>
            <w:hideMark/>
          </w:tcPr>
          <w:p w14:paraId="23492F09" w14:textId="68193B57"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odpora rozšířeného stoho</w:t>
            </w:r>
            <w:r w:rsidR="005D2539">
              <w:rPr>
                <w:rFonts w:ascii="Calibri" w:eastAsia="Times New Roman" w:hAnsi="Calibri"/>
                <w:color w:val="000000"/>
                <w:sz w:val="16"/>
                <w:szCs w:val="16"/>
                <w:lang w:eastAsia="cs-CZ"/>
              </w:rPr>
              <w:t>vání po standardizovaných 10Gb porte</w:t>
            </w:r>
            <w:r w:rsidR="005F260B" w:rsidRPr="005F260B">
              <w:rPr>
                <w:rFonts w:ascii="Calibri" w:eastAsia="Times New Roman" w:hAnsi="Calibri"/>
                <w:color w:val="000000"/>
                <w:sz w:val="16"/>
                <w:szCs w:val="16"/>
                <w:lang w:eastAsia="cs-CZ"/>
              </w:rPr>
              <w:t xml:space="preserve">ch přepínačů  </w:t>
            </w:r>
          </w:p>
        </w:tc>
        <w:tc>
          <w:tcPr>
            <w:tcW w:w="2835" w:type="dxa"/>
            <w:tcBorders>
              <w:top w:val="nil"/>
              <w:left w:val="nil"/>
              <w:bottom w:val="single" w:sz="4" w:space="0" w:color="auto"/>
              <w:right w:val="single" w:sz="4" w:space="0" w:color="auto"/>
            </w:tcBorders>
            <w:shd w:val="clear" w:color="auto" w:fill="auto"/>
            <w:noWrap/>
            <w:vAlign w:val="bottom"/>
            <w:hideMark/>
          </w:tcPr>
          <w:p w14:paraId="499E2BA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3FDBF7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7F83DE1"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9E3E291"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3677D64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w:t>
            </w:r>
          </w:p>
        </w:tc>
        <w:tc>
          <w:tcPr>
            <w:tcW w:w="5954" w:type="dxa"/>
            <w:tcBorders>
              <w:top w:val="nil"/>
              <w:left w:val="nil"/>
              <w:bottom w:val="single" w:sz="4" w:space="0" w:color="auto"/>
              <w:right w:val="single" w:sz="4" w:space="0" w:color="auto"/>
            </w:tcBorders>
            <w:shd w:val="clear" w:color="auto" w:fill="auto"/>
            <w:noWrap/>
            <w:vAlign w:val="center"/>
            <w:hideMark/>
          </w:tcPr>
          <w:p w14:paraId="2E652B1B"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 60 měsíců, oprava do 2 pracovních dnů v místě instalace</w:t>
            </w:r>
          </w:p>
        </w:tc>
        <w:tc>
          <w:tcPr>
            <w:tcW w:w="2835" w:type="dxa"/>
            <w:tcBorders>
              <w:top w:val="nil"/>
              <w:left w:val="nil"/>
              <w:bottom w:val="single" w:sz="4" w:space="0" w:color="auto"/>
              <w:right w:val="single" w:sz="4" w:space="0" w:color="auto"/>
            </w:tcBorders>
            <w:shd w:val="clear" w:color="auto" w:fill="auto"/>
            <w:noWrap/>
            <w:vAlign w:val="bottom"/>
            <w:hideMark/>
          </w:tcPr>
          <w:p w14:paraId="7A336A32"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17DF3A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5B0F225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96ACB24"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000000" w:fill="D9D9D9"/>
            <w:noWrap/>
            <w:vAlign w:val="center"/>
            <w:hideMark/>
          </w:tcPr>
          <w:p w14:paraId="60FFD4D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5954" w:type="dxa"/>
            <w:tcBorders>
              <w:top w:val="nil"/>
              <w:left w:val="nil"/>
              <w:bottom w:val="single" w:sz="4" w:space="0" w:color="auto"/>
              <w:right w:val="single" w:sz="4" w:space="0" w:color="auto"/>
            </w:tcBorders>
            <w:shd w:val="clear" w:color="000000" w:fill="D9D9D9"/>
            <w:noWrap/>
            <w:vAlign w:val="center"/>
            <w:hideMark/>
          </w:tcPr>
          <w:p w14:paraId="5195B8EA"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2 kusy přepínačů</w:t>
            </w:r>
          </w:p>
        </w:tc>
        <w:tc>
          <w:tcPr>
            <w:tcW w:w="2835" w:type="dxa"/>
            <w:tcBorders>
              <w:top w:val="nil"/>
              <w:left w:val="nil"/>
              <w:bottom w:val="single" w:sz="4" w:space="0" w:color="auto"/>
              <w:right w:val="single" w:sz="4" w:space="0" w:color="auto"/>
            </w:tcBorders>
            <w:shd w:val="clear" w:color="auto" w:fill="auto"/>
            <w:noWrap/>
            <w:vAlign w:val="bottom"/>
            <w:hideMark/>
          </w:tcPr>
          <w:p w14:paraId="77E3BD4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6E21A12"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944DD2B"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EA562E8"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59D04F6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Porty</w:t>
            </w:r>
          </w:p>
        </w:tc>
        <w:tc>
          <w:tcPr>
            <w:tcW w:w="5954" w:type="dxa"/>
            <w:tcBorders>
              <w:top w:val="nil"/>
              <w:left w:val="nil"/>
              <w:bottom w:val="single" w:sz="4" w:space="0" w:color="auto"/>
              <w:right w:val="single" w:sz="4" w:space="0" w:color="auto"/>
            </w:tcBorders>
            <w:shd w:val="clear" w:color="auto" w:fill="auto"/>
            <w:noWrap/>
            <w:vAlign w:val="center"/>
            <w:hideMark/>
          </w:tcPr>
          <w:p w14:paraId="2783C6DD" w14:textId="61C7D1BC"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5F260B" w:rsidRPr="005F260B">
              <w:rPr>
                <w:rFonts w:ascii="Calibri" w:eastAsia="Times New Roman" w:hAnsi="Calibri"/>
                <w:color w:val="000000"/>
                <w:sz w:val="16"/>
                <w:szCs w:val="16"/>
                <w:lang w:eastAsia="cs-CZ"/>
              </w:rPr>
              <w:t>in. 24x 1Gb SFP,  4x 1Gb RJ-45, 6x 10Gb SFP+ porty</w:t>
            </w:r>
          </w:p>
        </w:tc>
        <w:tc>
          <w:tcPr>
            <w:tcW w:w="2835" w:type="dxa"/>
            <w:tcBorders>
              <w:top w:val="nil"/>
              <w:left w:val="nil"/>
              <w:bottom w:val="single" w:sz="4" w:space="0" w:color="auto"/>
              <w:right w:val="single" w:sz="4" w:space="0" w:color="auto"/>
            </w:tcBorders>
            <w:shd w:val="clear" w:color="auto" w:fill="auto"/>
            <w:noWrap/>
            <w:vAlign w:val="bottom"/>
            <w:hideMark/>
          </w:tcPr>
          <w:p w14:paraId="0570E3F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6E5CF0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16916D1"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1E5A458"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000000" w:fill="D9D9D9"/>
            <w:noWrap/>
            <w:vAlign w:val="center"/>
            <w:hideMark/>
          </w:tcPr>
          <w:p w14:paraId="11DEA92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5954" w:type="dxa"/>
            <w:tcBorders>
              <w:top w:val="nil"/>
              <w:left w:val="nil"/>
              <w:bottom w:val="single" w:sz="4" w:space="0" w:color="auto"/>
              <w:right w:val="single" w:sz="4" w:space="0" w:color="auto"/>
            </w:tcBorders>
            <w:shd w:val="clear" w:color="000000" w:fill="D9D9D9"/>
            <w:noWrap/>
            <w:vAlign w:val="center"/>
            <w:hideMark/>
          </w:tcPr>
          <w:p w14:paraId="260AEC7F"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1 kusy přepínače</w:t>
            </w:r>
          </w:p>
        </w:tc>
        <w:tc>
          <w:tcPr>
            <w:tcW w:w="2835" w:type="dxa"/>
            <w:tcBorders>
              <w:top w:val="nil"/>
              <w:left w:val="nil"/>
              <w:bottom w:val="single" w:sz="4" w:space="0" w:color="auto"/>
              <w:right w:val="single" w:sz="4" w:space="0" w:color="auto"/>
            </w:tcBorders>
            <w:shd w:val="clear" w:color="auto" w:fill="auto"/>
            <w:noWrap/>
            <w:vAlign w:val="bottom"/>
            <w:hideMark/>
          </w:tcPr>
          <w:p w14:paraId="0C1F7CA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EFD2B0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A3F3B06"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79D3740"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655D7E9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Porty</w:t>
            </w:r>
          </w:p>
        </w:tc>
        <w:tc>
          <w:tcPr>
            <w:tcW w:w="5954" w:type="dxa"/>
            <w:tcBorders>
              <w:top w:val="nil"/>
              <w:left w:val="nil"/>
              <w:bottom w:val="single" w:sz="4" w:space="0" w:color="auto"/>
              <w:right w:val="single" w:sz="4" w:space="0" w:color="auto"/>
            </w:tcBorders>
            <w:shd w:val="clear" w:color="auto" w:fill="auto"/>
            <w:noWrap/>
            <w:vAlign w:val="center"/>
            <w:hideMark/>
          </w:tcPr>
          <w:p w14:paraId="4ECE803C" w14:textId="6AE67A07"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 xml:space="preserve"> M</w:t>
            </w:r>
            <w:r w:rsidR="005F260B" w:rsidRPr="005F260B">
              <w:rPr>
                <w:rFonts w:ascii="Calibri" w:eastAsia="Times New Roman" w:hAnsi="Calibri"/>
                <w:color w:val="000000"/>
                <w:sz w:val="16"/>
                <w:szCs w:val="16"/>
                <w:lang w:eastAsia="cs-CZ"/>
              </w:rPr>
              <w:t>in. 24x 1Gb RJ-45,  4x 1Gb SFP, 6x 10Gb SFP+ porty</w:t>
            </w:r>
          </w:p>
        </w:tc>
        <w:tc>
          <w:tcPr>
            <w:tcW w:w="2835" w:type="dxa"/>
            <w:tcBorders>
              <w:top w:val="nil"/>
              <w:left w:val="nil"/>
              <w:bottom w:val="single" w:sz="4" w:space="0" w:color="auto"/>
              <w:right w:val="single" w:sz="4" w:space="0" w:color="auto"/>
            </w:tcBorders>
            <w:shd w:val="clear" w:color="auto" w:fill="auto"/>
            <w:noWrap/>
            <w:vAlign w:val="bottom"/>
            <w:hideMark/>
          </w:tcPr>
          <w:p w14:paraId="631A50A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39585E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5678EED0"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6C826EE"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000000" w:fill="D9D9D9"/>
            <w:noWrap/>
            <w:vAlign w:val="center"/>
            <w:hideMark/>
          </w:tcPr>
          <w:p w14:paraId="478A327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5954" w:type="dxa"/>
            <w:tcBorders>
              <w:top w:val="nil"/>
              <w:left w:val="nil"/>
              <w:bottom w:val="single" w:sz="4" w:space="0" w:color="auto"/>
              <w:right w:val="single" w:sz="8" w:space="0" w:color="auto"/>
            </w:tcBorders>
            <w:shd w:val="clear" w:color="000000" w:fill="D9D9D9"/>
            <w:noWrap/>
            <w:vAlign w:val="center"/>
            <w:hideMark/>
          </w:tcPr>
          <w:p w14:paraId="1BBE7C9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Kabely a optické prvky</w:t>
            </w:r>
          </w:p>
        </w:tc>
        <w:tc>
          <w:tcPr>
            <w:tcW w:w="2835" w:type="dxa"/>
            <w:tcBorders>
              <w:top w:val="nil"/>
              <w:left w:val="nil"/>
              <w:bottom w:val="single" w:sz="4" w:space="0" w:color="auto"/>
              <w:right w:val="single" w:sz="4" w:space="0" w:color="auto"/>
            </w:tcBorders>
            <w:shd w:val="clear" w:color="auto" w:fill="auto"/>
            <w:noWrap/>
            <w:vAlign w:val="center"/>
            <w:hideMark/>
          </w:tcPr>
          <w:p w14:paraId="75BF38CC"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3F2D8EE"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5358702A"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86E7EEC"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42080A0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SPF moduly</w:t>
            </w:r>
          </w:p>
        </w:tc>
        <w:tc>
          <w:tcPr>
            <w:tcW w:w="5954" w:type="dxa"/>
            <w:tcBorders>
              <w:top w:val="nil"/>
              <w:left w:val="nil"/>
              <w:bottom w:val="single" w:sz="4" w:space="0" w:color="auto"/>
              <w:right w:val="single" w:sz="4" w:space="0" w:color="auto"/>
            </w:tcBorders>
            <w:shd w:val="clear" w:color="auto" w:fill="auto"/>
            <w:noWrap/>
            <w:vAlign w:val="center"/>
            <w:hideMark/>
          </w:tcPr>
          <w:p w14:paraId="4974ECAE"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8 x  1Gb, do 10 km, </w:t>
            </w:r>
          </w:p>
        </w:tc>
        <w:tc>
          <w:tcPr>
            <w:tcW w:w="2835" w:type="dxa"/>
            <w:tcBorders>
              <w:top w:val="nil"/>
              <w:left w:val="nil"/>
              <w:bottom w:val="single" w:sz="4" w:space="0" w:color="auto"/>
              <w:right w:val="single" w:sz="4" w:space="0" w:color="auto"/>
            </w:tcBorders>
            <w:shd w:val="clear" w:color="auto" w:fill="auto"/>
            <w:noWrap/>
            <w:vAlign w:val="bottom"/>
            <w:hideMark/>
          </w:tcPr>
          <w:p w14:paraId="25A8B60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45B730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97D550E"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2D3E3F0"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15DC182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SPF+ moduly</w:t>
            </w:r>
          </w:p>
        </w:tc>
        <w:tc>
          <w:tcPr>
            <w:tcW w:w="5954" w:type="dxa"/>
            <w:tcBorders>
              <w:top w:val="nil"/>
              <w:left w:val="nil"/>
              <w:bottom w:val="single" w:sz="4" w:space="0" w:color="auto"/>
              <w:right w:val="single" w:sz="4" w:space="0" w:color="auto"/>
            </w:tcBorders>
            <w:shd w:val="clear" w:color="auto" w:fill="auto"/>
            <w:noWrap/>
            <w:vAlign w:val="center"/>
            <w:hideMark/>
          </w:tcPr>
          <w:p w14:paraId="379738DB"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4x 10Gb, do 10 km, WDM( </w:t>
            </w:r>
            <w:proofErr w:type="spellStart"/>
            <w:r w:rsidRPr="005F260B">
              <w:rPr>
                <w:rFonts w:ascii="Calibri" w:eastAsia="Times New Roman" w:hAnsi="Calibri"/>
                <w:color w:val="000000"/>
                <w:sz w:val="16"/>
                <w:szCs w:val="16"/>
                <w:lang w:eastAsia="cs-CZ"/>
              </w:rPr>
              <w:t>BiDi</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jednovláknové</w:t>
            </w:r>
            <w:proofErr w:type="spellEnd"/>
            <w:r w:rsidRPr="005F260B">
              <w:rPr>
                <w:rFonts w:ascii="Calibri" w:eastAsia="Times New Roman" w:hAnsi="Calibri"/>
                <w:color w:val="000000"/>
                <w:sz w:val="16"/>
                <w:szCs w:val="16"/>
                <w:lang w:eastAsia="cs-CZ"/>
              </w:rPr>
              <w:t>, včetně diagnostiky</w:t>
            </w:r>
          </w:p>
        </w:tc>
        <w:tc>
          <w:tcPr>
            <w:tcW w:w="2835" w:type="dxa"/>
            <w:tcBorders>
              <w:top w:val="nil"/>
              <w:left w:val="nil"/>
              <w:bottom w:val="single" w:sz="4" w:space="0" w:color="auto"/>
              <w:right w:val="single" w:sz="4" w:space="0" w:color="auto"/>
            </w:tcBorders>
            <w:shd w:val="clear" w:color="auto" w:fill="auto"/>
            <w:noWrap/>
            <w:vAlign w:val="bottom"/>
            <w:hideMark/>
          </w:tcPr>
          <w:p w14:paraId="3F6D0C3D"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57B627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20740AC1"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5834F485"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nil"/>
              <w:right w:val="single" w:sz="8" w:space="0" w:color="auto"/>
            </w:tcBorders>
            <w:shd w:val="clear" w:color="auto" w:fill="auto"/>
            <w:noWrap/>
            <w:vAlign w:val="center"/>
            <w:hideMark/>
          </w:tcPr>
          <w:p w14:paraId="029564A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Kabely</w:t>
            </w:r>
          </w:p>
        </w:tc>
        <w:tc>
          <w:tcPr>
            <w:tcW w:w="5954" w:type="dxa"/>
            <w:tcBorders>
              <w:top w:val="nil"/>
              <w:left w:val="nil"/>
              <w:bottom w:val="nil"/>
              <w:right w:val="single" w:sz="4" w:space="0" w:color="auto"/>
            </w:tcBorders>
            <w:shd w:val="clear" w:color="auto" w:fill="auto"/>
            <w:noWrap/>
            <w:vAlign w:val="center"/>
            <w:hideMark/>
          </w:tcPr>
          <w:p w14:paraId="38439923"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6x DAC SFP+ min. 3m, 12x </w:t>
            </w:r>
            <w:proofErr w:type="spellStart"/>
            <w:r w:rsidRPr="005F260B">
              <w:rPr>
                <w:rFonts w:ascii="Calibri" w:eastAsia="Times New Roman" w:hAnsi="Calibri"/>
                <w:color w:val="000000"/>
                <w:sz w:val="16"/>
                <w:szCs w:val="16"/>
                <w:lang w:eastAsia="cs-CZ"/>
              </w:rPr>
              <w:t>patch</w:t>
            </w:r>
            <w:proofErr w:type="spellEnd"/>
            <w:r w:rsidRPr="005F260B">
              <w:rPr>
                <w:rFonts w:ascii="Calibri" w:eastAsia="Times New Roman" w:hAnsi="Calibri"/>
                <w:color w:val="000000"/>
                <w:sz w:val="16"/>
                <w:szCs w:val="16"/>
                <w:lang w:eastAsia="cs-CZ"/>
              </w:rPr>
              <w:t xml:space="preserve"> kabel min 3 m pro nabízená SFP (optické </w:t>
            </w:r>
            <w:proofErr w:type="spellStart"/>
            <w:r w:rsidRPr="005F260B">
              <w:rPr>
                <w:rFonts w:ascii="Calibri" w:eastAsia="Times New Roman" w:hAnsi="Calibri"/>
                <w:color w:val="000000"/>
                <w:sz w:val="16"/>
                <w:szCs w:val="16"/>
                <w:lang w:eastAsia="cs-CZ"/>
              </w:rPr>
              <w:t>propoje</w:t>
            </w:r>
            <w:proofErr w:type="spellEnd"/>
            <w:r w:rsidRPr="005F260B">
              <w:rPr>
                <w:rFonts w:ascii="Calibri" w:eastAsia="Times New Roman" w:hAnsi="Calibri"/>
                <w:color w:val="000000"/>
                <w:sz w:val="16"/>
                <w:szCs w:val="16"/>
                <w:lang w:eastAsia="cs-CZ"/>
              </w:rPr>
              <w:t xml:space="preserve"> jsou zakončené konektory SC)</w:t>
            </w:r>
          </w:p>
        </w:tc>
        <w:tc>
          <w:tcPr>
            <w:tcW w:w="2835" w:type="dxa"/>
            <w:tcBorders>
              <w:top w:val="nil"/>
              <w:left w:val="nil"/>
              <w:bottom w:val="nil"/>
              <w:right w:val="single" w:sz="4" w:space="0" w:color="auto"/>
            </w:tcBorders>
            <w:shd w:val="clear" w:color="auto" w:fill="auto"/>
            <w:noWrap/>
            <w:vAlign w:val="bottom"/>
            <w:hideMark/>
          </w:tcPr>
          <w:p w14:paraId="1456A33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nil"/>
              <w:right w:val="single" w:sz="8" w:space="0" w:color="auto"/>
            </w:tcBorders>
            <w:shd w:val="clear" w:color="auto" w:fill="auto"/>
            <w:noWrap/>
            <w:vAlign w:val="bottom"/>
            <w:hideMark/>
          </w:tcPr>
          <w:p w14:paraId="5AC05B1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5143A05" w14:textId="77777777" w:rsidTr="008D4FC8">
        <w:trPr>
          <w:trHeight w:val="315"/>
        </w:trPr>
        <w:tc>
          <w:tcPr>
            <w:tcW w:w="1124" w:type="dxa"/>
            <w:vMerge/>
            <w:tcBorders>
              <w:top w:val="nil"/>
              <w:left w:val="single" w:sz="8" w:space="0" w:color="auto"/>
              <w:bottom w:val="single" w:sz="8" w:space="0" w:color="000000"/>
              <w:right w:val="single" w:sz="8" w:space="0" w:color="auto"/>
            </w:tcBorders>
            <w:vAlign w:val="center"/>
            <w:hideMark/>
          </w:tcPr>
          <w:p w14:paraId="1ECD4FD4"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14:paraId="457C36F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w:t>
            </w: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14:paraId="49551EA8" w14:textId="21F118B0"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Z</w:t>
            </w:r>
            <w:r w:rsidR="005F260B" w:rsidRPr="005F260B">
              <w:rPr>
                <w:rFonts w:ascii="Calibri" w:eastAsia="Times New Roman" w:hAnsi="Calibri"/>
                <w:color w:val="000000"/>
                <w:sz w:val="16"/>
                <w:szCs w:val="16"/>
                <w:lang w:eastAsia="cs-CZ"/>
              </w:rPr>
              <w:t>áruka min. 36 měsíců</w:t>
            </w:r>
          </w:p>
        </w:tc>
        <w:tc>
          <w:tcPr>
            <w:tcW w:w="2835" w:type="dxa"/>
            <w:tcBorders>
              <w:top w:val="single" w:sz="4" w:space="0" w:color="auto"/>
              <w:left w:val="nil"/>
              <w:bottom w:val="single" w:sz="8" w:space="0" w:color="auto"/>
              <w:right w:val="single" w:sz="4" w:space="0" w:color="auto"/>
            </w:tcBorders>
            <w:shd w:val="clear" w:color="auto" w:fill="auto"/>
            <w:noWrap/>
            <w:vAlign w:val="bottom"/>
            <w:hideMark/>
          </w:tcPr>
          <w:p w14:paraId="6186021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single" w:sz="4" w:space="0" w:color="auto"/>
              <w:left w:val="nil"/>
              <w:bottom w:val="single" w:sz="8" w:space="0" w:color="auto"/>
              <w:right w:val="single" w:sz="8" w:space="0" w:color="auto"/>
            </w:tcBorders>
            <w:shd w:val="clear" w:color="auto" w:fill="auto"/>
            <w:noWrap/>
            <w:vAlign w:val="bottom"/>
            <w:hideMark/>
          </w:tcPr>
          <w:p w14:paraId="6D0A741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C59ED76" w14:textId="77777777" w:rsidTr="008D4FC8">
        <w:trPr>
          <w:trHeight w:val="675"/>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3402BD57"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SW licence</w:t>
            </w:r>
            <w:r w:rsidRPr="005F260B">
              <w:rPr>
                <w:rFonts w:ascii="Calibri" w:eastAsia="Times New Roman" w:hAnsi="Calibri"/>
                <w:b/>
                <w:bCs/>
                <w:color w:val="000000"/>
                <w:sz w:val="16"/>
                <w:szCs w:val="16"/>
                <w:lang w:eastAsia="cs-CZ"/>
              </w:rPr>
              <w:br/>
              <w:t xml:space="preserve">virtualizace aplikací </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14:paraId="68267F2E"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Operační systémy</w:t>
            </w:r>
          </w:p>
        </w:tc>
        <w:tc>
          <w:tcPr>
            <w:tcW w:w="5954" w:type="dxa"/>
            <w:tcBorders>
              <w:top w:val="nil"/>
              <w:left w:val="nil"/>
              <w:bottom w:val="single" w:sz="4" w:space="0" w:color="auto"/>
              <w:right w:val="single" w:sz="4" w:space="0" w:color="auto"/>
            </w:tcBorders>
            <w:shd w:val="clear" w:color="auto" w:fill="auto"/>
            <w:noWrap/>
            <w:vAlign w:val="center"/>
            <w:hideMark/>
          </w:tcPr>
          <w:p w14:paraId="27E9F9FA"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2 ks licencí  Windows Server Standard v aktuální verzi s možností využití starších verzí (</w:t>
            </w:r>
            <w:proofErr w:type="spellStart"/>
            <w:r w:rsidRPr="005F260B">
              <w:rPr>
                <w:rFonts w:ascii="Calibri" w:eastAsia="Times New Roman" w:hAnsi="Calibri"/>
                <w:color w:val="000000"/>
                <w:sz w:val="16"/>
                <w:szCs w:val="16"/>
                <w:lang w:eastAsia="cs-CZ"/>
              </w:rPr>
              <w:t>downgrade</w:t>
            </w:r>
            <w:proofErr w:type="spellEnd"/>
            <w:r w:rsidRPr="005F260B">
              <w:rPr>
                <w:rFonts w:ascii="Calibri" w:eastAsia="Times New Roman" w:hAnsi="Calibri"/>
                <w:color w:val="000000"/>
                <w:sz w:val="16"/>
                <w:szCs w:val="16"/>
                <w:lang w:eastAsia="cs-CZ"/>
              </w:rPr>
              <w:t xml:space="preserve">). Licence musí umožnit provozu </w:t>
            </w:r>
            <w:proofErr w:type="spellStart"/>
            <w:r w:rsidRPr="005F260B">
              <w:rPr>
                <w:rFonts w:ascii="Calibri" w:eastAsia="Times New Roman" w:hAnsi="Calibri"/>
                <w:color w:val="000000"/>
                <w:sz w:val="16"/>
                <w:szCs w:val="16"/>
                <w:lang w:eastAsia="cs-CZ"/>
              </w:rPr>
              <w:t>virtualizačních</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hypervizoru</w:t>
            </w:r>
            <w:proofErr w:type="spellEnd"/>
            <w:r w:rsidRPr="005F260B">
              <w:rPr>
                <w:rFonts w:ascii="Calibri" w:eastAsia="Times New Roman" w:hAnsi="Calibri"/>
                <w:color w:val="000000"/>
                <w:sz w:val="16"/>
                <w:szCs w:val="16"/>
                <w:lang w:eastAsia="cs-CZ"/>
              </w:rPr>
              <w:t xml:space="preserve"> a min. 4-ti virtuálních serverů</w:t>
            </w:r>
          </w:p>
        </w:tc>
        <w:tc>
          <w:tcPr>
            <w:tcW w:w="2835" w:type="dxa"/>
            <w:tcBorders>
              <w:top w:val="nil"/>
              <w:left w:val="nil"/>
              <w:bottom w:val="single" w:sz="4" w:space="0" w:color="auto"/>
              <w:right w:val="single" w:sz="4" w:space="0" w:color="auto"/>
            </w:tcBorders>
            <w:shd w:val="clear" w:color="auto" w:fill="auto"/>
            <w:noWrap/>
            <w:vAlign w:val="bottom"/>
            <w:hideMark/>
          </w:tcPr>
          <w:p w14:paraId="5627C5B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ED995F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2F29181"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0F7701A"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noWrap/>
            <w:vAlign w:val="center"/>
            <w:hideMark/>
          </w:tcPr>
          <w:p w14:paraId="5F94840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Klienti OS</w:t>
            </w:r>
          </w:p>
        </w:tc>
        <w:tc>
          <w:tcPr>
            <w:tcW w:w="5954" w:type="dxa"/>
            <w:tcBorders>
              <w:top w:val="nil"/>
              <w:left w:val="nil"/>
              <w:bottom w:val="single" w:sz="4" w:space="0" w:color="auto"/>
              <w:right w:val="single" w:sz="4" w:space="0" w:color="auto"/>
            </w:tcBorders>
            <w:shd w:val="clear" w:color="auto" w:fill="auto"/>
            <w:noWrap/>
            <w:vAlign w:val="center"/>
            <w:hideMark/>
          </w:tcPr>
          <w:p w14:paraId="5F9A515E" w14:textId="54C7F4CA"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K</w:t>
            </w:r>
            <w:r w:rsidR="005F260B" w:rsidRPr="005F260B">
              <w:rPr>
                <w:rFonts w:ascii="Calibri" w:eastAsia="Times New Roman" w:hAnsi="Calibri"/>
                <w:color w:val="000000"/>
                <w:sz w:val="16"/>
                <w:szCs w:val="16"/>
                <w:lang w:eastAsia="cs-CZ"/>
              </w:rPr>
              <w:t>lientské licence pro nabízené operační systémy pro 50  uživatelů</w:t>
            </w:r>
          </w:p>
        </w:tc>
        <w:tc>
          <w:tcPr>
            <w:tcW w:w="2835" w:type="dxa"/>
            <w:tcBorders>
              <w:top w:val="nil"/>
              <w:left w:val="nil"/>
              <w:bottom w:val="single" w:sz="4" w:space="0" w:color="auto"/>
              <w:right w:val="single" w:sz="4" w:space="0" w:color="auto"/>
            </w:tcBorders>
            <w:shd w:val="clear" w:color="auto" w:fill="auto"/>
            <w:noWrap/>
            <w:vAlign w:val="bottom"/>
            <w:hideMark/>
          </w:tcPr>
          <w:p w14:paraId="3E3065E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1C2383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29AF60DA" w14:textId="77777777" w:rsidTr="008D4FC8">
        <w:trPr>
          <w:trHeight w:val="465"/>
        </w:trPr>
        <w:tc>
          <w:tcPr>
            <w:tcW w:w="1124" w:type="dxa"/>
            <w:vMerge/>
            <w:tcBorders>
              <w:top w:val="nil"/>
              <w:left w:val="single" w:sz="8" w:space="0" w:color="auto"/>
              <w:bottom w:val="single" w:sz="8" w:space="0" w:color="000000"/>
              <w:right w:val="single" w:sz="8" w:space="0" w:color="auto"/>
            </w:tcBorders>
            <w:vAlign w:val="center"/>
            <w:hideMark/>
          </w:tcPr>
          <w:p w14:paraId="5EC4FCAB"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8" w:space="0" w:color="auto"/>
              <w:right w:val="single" w:sz="8" w:space="0" w:color="auto"/>
            </w:tcBorders>
            <w:shd w:val="clear" w:color="auto" w:fill="auto"/>
            <w:noWrap/>
            <w:vAlign w:val="center"/>
            <w:hideMark/>
          </w:tcPr>
          <w:p w14:paraId="461E213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Klienti RDS</w:t>
            </w:r>
          </w:p>
        </w:tc>
        <w:tc>
          <w:tcPr>
            <w:tcW w:w="5954" w:type="dxa"/>
            <w:tcBorders>
              <w:top w:val="nil"/>
              <w:left w:val="nil"/>
              <w:bottom w:val="single" w:sz="4" w:space="0" w:color="auto"/>
              <w:right w:val="single" w:sz="4" w:space="0" w:color="auto"/>
            </w:tcBorders>
            <w:shd w:val="clear" w:color="auto" w:fill="auto"/>
            <w:noWrap/>
            <w:vAlign w:val="center"/>
            <w:hideMark/>
          </w:tcPr>
          <w:p w14:paraId="0CEDD0F8" w14:textId="1B03A453"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K</w:t>
            </w:r>
            <w:r w:rsidR="005F260B" w:rsidRPr="005F260B">
              <w:rPr>
                <w:rFonts w:ascii="Calibri" w:eastAsia="Times New Roman" w:hAnsi="Calibri"/>
                <w:color w:val="000000"/>
                <w:sz w:val="16"/>
                <w:szCs w:val="16"/>
                <w:lang w:eastAsia="cs-CZ"/>
              </w:rPr>
              <w:t xml:space="preserve">lientské licence pro nabízené operační systémy </w:t>
            </w:r>
            <w:proofErr w:type="spellStart"/>
            <w:r w:rsidR="005F260B" w:rsidRPr="005F260B">
              <w:rPr>
                <w:rFonts w:ascii="Calibri" w:eastAsia="Times New Roman" w:hAnsi="Calibri"/>
                <w:color w:val="000000"/>
                <w:sz w:val="16"/>
                <w:szCs w:val="16"/>
                <w:lang w:eastAsia="cs-CZ"/>
              </w:rPr>
              <w:t>umožńující</w:t>
            </w:r>
            <w:proofErr w:type="spellEnd"/>
            <w:r w:rsidR="005F260B" w:rsidRPr="005F260B">
              <w:rPr>
                <w:rFonts w:ascii="Calibri" w:eastAsia="Times New Roman" w:hAnsi="Calibri"/>
                <w:color w:val="000000"/>
                <w:sz w:val="16"/>
                <w:szCs w:val="16"/>
                <w:lang w:eastAsia="cs-CZ"/>
              </w:rPr>
              <w:t xml:space="preserve"> využívat </w:t>
            </w:r>
            <w:proofErr w:type="spellStart"/>
            <w:r w:rsidR="005F260B" w:rsidRPr="005F260B">
              <w:rPr>
                <w:rFonts w:ascii="Calibri" w:eastAsia="Times New Roman" w:hAnsi="Calibri"/>
                <w:color w:val="000000"/>
                <w:sz w:val="16"/>
                <w:szCs w:val="16"/>
                <w:lang w:eastAsia="cs-CZ"/>
              </w:rPr>
              <w:t>virtualizované</w:t>
            </w:r>
            <w:proofErr w:type="spellEnd"/>
            <w:r w:rsidR="005F260B" w:rsidRPr="005F260B">
              <w:rPr>
                <w:rFonts w:ascii="Calibri" w:eastAsia="Times New Roman" w:hAnsi="Calibri"/>
                <w:color w:val="000000"/>
                <w:sz w:val="16"/>
                <w:szCs w:val="16"/>
                <w:lang w:eastAsia="cs-CZ"/>
              </w:rPr>
              <w:t xml:space="preserve"> aplikace publikované z těchto systémů 50 uživatelům</w:t>
            </w:r>
          </w:p>
        </w:tc>
        <w:tc>
          <w:tcPr>
            <w:tcW w:w="2835" w:type="dxa"/>
            <w:tcBorders>
              <w:top w:val="nil"/>
              <w:left w:val="nil"/>
              <w:bottom w:val="single" w:sz="4" w:space="0" w:color="auto"/>
              <w:right w:val="single" w:sz="4" w:space="0" w:color="auto"/>
            </w:tcBorders>
            <w:shd w:val="clear" w:color="auto" w:fill="auto"/>
            <w:noWrap/>
            <w:vAlign w:val="bottom"/>
            <w:hideMark/>
          </w:tcPr>
          <w:p w14:paraId="1A76693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BAF933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3FB1ACD7" w14:textId="77777777" w:rsidTr="008D4FC8">
        <w:trPr>
          <w:trHeight w:val="465"/>
        </w:trPr>
        <w:tc>
          <w:tcPr>
            <w:tcW w:w="1124" w:type="dxa"/>
            <w:vMerge/>
            <w:tcBorders>
              <w:top w:val="nil"/>
              <w:left w:val="single" w:sz="8" w:space="0" w:color="auto"/>
              <w:bottom w:val="single" w:sz="8" w:space="0" w:color="000000"/>
              <w:right w:val="single" w:sz="8" w:space="0" w:color="auto"/>
            </w:tcBorders>
            <w:vAlign w:val="center"/>
            <w:hideMark/>
          </w:tcPr>
          <w:p w14:paraId="482343B1"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14:paraId="0BE8B57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Licence</w:t>
            </w:r>
          </w:p>
        </w:tc>
        <w:tc>
          <w:tcPr>
            <w:tcW w:w="5954" w:type="dxa"/>
            <w:tcBorders>
              <w:top w:val="nil"/>
              <w:left w:val="nil"/>
              <w:bottom w:val="single" w:sz="4" w:space="0" w:color="auto"/>
              <w:right w:val="single" w:sz="4" w:space="0" w:color="auto"/>
            </w:tcBorders>
            <w:shd w:val="clear" w:color="auto" w:fill="auto"/>
            <w:noWrap/>
            <w:vAlign w:val="center"/>
            <w:hideMark/>
          </w:tcPr>
          <w:p w14:paraId="79877498"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Nabízené licence musí umožnit jejich využití i uživatelům městských příspěvkových či zřizovaných organizací</w:t>
            </w:r>
          </w:p>
        </w:tc>
        <w:tc>
          <w:tcPr>
            <w:tcW w:w="2835" w:type="dxa"/>
            <w:tcBorders>
              <w:top w:val="nil"/>
              <w:left w:val="nil"/>
              <w:bottom w:val="single" w:sz="4" w:space="0" w:color="auto"/>
              <w:right w:val="single" w:sz="4" w:space="0" w:color="auto"/>
            </w:tcBorders>
            <w:shd w:val="clear" w:color="auto" w:fill="auto"/>
            <w:noWrap/>
            <w:vAlign w:val="bottom"/>
            <w:hideMark/>
          </w:tcPr>
          <w:p w14:paraId="5C90D28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AEA0AE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AF39B78" w14:textId="77777777" w:rsidTr="008D4FC8">
        <w:trPr>
          <w:trHeight w:val="450"/>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1E409B49" w14:textId="77777777" w:rsidR="005F260B" w:rsidRPr="005F260B" w:rsidRDefault="005F260B" w:rsidP="005F260B">
            <w:pPr>
              <w:spacing w:after="0"/>
              <w:jc w:val="center"/>
              <w:rPr>
                <w:rFonts w:ascii="Calibri" w:eastAsia="Times New Roman" w:hAnsi="Calibri"/>
                <w:b/>
                <w:bCs/>
                <w:color w:val="000000"/>
                <w:sz w:val="16"/>
                <w:szCs w:val="16"/>
                <w:lang w:eastAsia="cs-CZ"/>
              </w:rPr>
            </w:pPr>
            <w:r w:rsidRPr="005F260B">
              <w:rPr>
                <w:rFonts w:ascii="Calibri" w:eastAsia="Times New Roman" w:hAnsi="Calibri"/>
                <w:b/>
                <w:bCs/>
                <w:color w:val="000000"/>
                <w:sz w:val="16"/>
                <w:szCs w:val="16"/>
                <w:lang w:eastAsia="cs-CZ"/>
              </w:rPr>
              <w:t>SW licence zálohovací software</w:t>
            </w:r>
          </w:p>
        </w:tc>
        <w:tc>
          <w:tcPr>
            <w:tcW w:w="1276" w:type="dxa"/>
            <w:tcBorders>
              <w:top w:val="nil"/>
              <w:left w:val="nil"/>
              <w:bottom w:val="single" w:sz="4" w:space="0" w:color="auto"/>
              <w:right w:val="single" w:sz="8" w:space="0" w:color="auto"/>
            </w:tcBorders>
            <w:shd w:val="clear" w:color="auto" w:fill="auto"/>
            <w:vAlign w:val="center"/>
            <w:hideMark/>
          </w:tcPr>
          <w:p w14:paraId="2F91F791"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Licence</w:t>
            </w:r>
          </w:p>
        </w:tc>
        <w:tc>
          <w:tcPr>
            <w:tcW w:w="5954" w:type="dxa"/>
            <w:tcBorders>
              <w:top w:val="nil"/>
              <w:left w:val="nil"/>
              <w:bottom w:val="single" w:sz="4" w:space="0" w:color="auto"/>
              <w:right w:val="single" w:sz="4" w:space="0" w:color="auto"/>
            </w:tcBorders>
            <w:shd w:val="clear" w:color="auto" w:fill="auto"/>
            <w:vAlign w:val="center"/>
            <w:hideMark/>
          </w:tcPr>
          <w:p w14:paraId="0DD34A6C"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Licence zálohovacího software pro nabízené servery  bez omezení počtu zálohovaných virtuálních serverů a objemu dat.</w:t>
            </w:r>
          </w:p>
        </w:tc>
        <w:tc>
          <w:tcPr>
            <w:tcW w:w="2835" w:type="dxa"/>
            <w:tcBorders>
              <w:top w:val="nil"/>
              <w:left w:val="nil"/>
              <w:bottom w:val="single" w:sz="4" w:space="0" w:color="auto"/>
              <w:right w:val="single" w:sz="4" w:space="0" w:color="auto"/>
            </w:tcBorders>
            <w:shd w:val="clear" w:color="auto" w:fill="auto"/>
            <w:vAlign w:val="bottom"/>
            <w:hideMark/>
          </w:tcPr>
          <w:p w14:paraId="7DDAD56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F3A4EF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BE0F7F4"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3EA0003E"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1B36267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Efektivita ukládání dat</w:t>
            </w:r>
          </w:p>
        </w:tc>
        <w:tc>
          <w:tcPr>
            <w:tcW w:w="5954" w:type="dxa"/>
            <w:tcBorders>
              <w:top w:val="nil"/>
              <w:left w:val="nil"/>
              <w:bottom w:val="single" w:sz="4" w:space="0" w:color="auto"/>
              <w:right w:val="single" w:sz="4" w:space="0" w:color="auto"/>
            </w:tcBorders>
            <w:shd w:val="clear" w:color="auto" w:fill="auto"/>
            <w:vAlign w:val="center"/>
            <w:hideMark/>
          </w:tcPr>
          <w:p w14:paraId="076E51D7"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Integrované technologie komprimace a </w:t>
            </w:r>
            <w:proofErr w:type="spellStart"/>
            <w:r w:rsidRPr="005F260B">
              <w:rPr>
                <w:rFonts w:ascii="Calibri" w:eastAsia="Times New Roman" w:hAnsi="Calibri"/>
                <w:color w:val="000000"/>
                <w:sz w:val="16"/>
                <w:szCs w:val="16"/>
                <w:lang w:eastAsia="cs-CZ"/>
              </w:rPr>
              <w:t>deduplikace</w:t>
            </w:r>
            <w:proofErr w:type="spellEnd"/>
            <w:r w:rsidRPr="005F260B">
              <w:rPr>
                <w:rFonts w:ascii="Calibri" w:eastAsia="Times New Roman" w:hAnsi="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vAlign w:val="bottom"/>
            <w:hideMark/>
          </w:tcPr>
          <w:p w14:paraId="2E4657D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5BA45F1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46323827"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10953C7C"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83E29A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Nároky na správu</w:t>
            </w:r>
          </w:p>
        </w:tc>
        <w:tc>
          <w:tcPr>
            <w:tcW w:w="5954" w:type="dxa"/>
            <w:tcBorders>
              <w:top w:val="nil"/>
              <w:left w:val="nil"/>
              <w:bottom w:val="single" w:sz="4" w:space="0" w:color="auto"/>
              <w:right w:val="single" w:sz="4" w:space="0" w:color="auto"/>
            </w:tcBorders>
            <w:shd w:val="clear" w:color="auto" w:fill="auto"/>
            <w:vAlign w:val="center"/>
            <w:hideMark/>
          </w:tcPr>
          <w:p w14:paraId="13D0C5E2" w14:textId="70C18926"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w:t>
            </w:r>
            <w:proofErr w:type="spellStart"/>
            <w:r>
              <w:rPr>
                <w:rFonts w:ascii="Calibri" w:eastAsia="Times New Roman" w:hAnsi="Calibri"/>
                <w:color w:val="000000"/>
                <w:sz w:val="16"/>
                <w:szCs w:val="16"/>
                <w:lang w:eastAsia="cs-CZ"/>
              </w:rPr>
              <w:t>B</w:t>
            </w:r>
            <w:r w:rsidR="005F260B" w:rsidRPr="005F260B">
              <w:rPr>
                <w:rFonts w:ascii="Calibri" w:eastAsia="Times New Roman" w:hAnsi="Calibri"/>
                <w:color w:val="000000"/>
                <w:sz w:val="16"/>
                <w:szCs w:val="16"/>
                <w:lang w:eastAsia="cs-CZ"/>
              </w:rPr>
              <w:t>ezagentové</w:t>
            </w:r>
            <w:proofErr w:type="spellEnd"/>
            <w:r w:rsidR="005F260B" w:rsidRPr="005F260B">
              <w:rPr>
                <w:rFonts w:ascii="Calibri" w:eastAsia="Times New Roman" w:hAnsi="Calibri"/>
                <w:color w:val="000000"/>
                <w:sz w:val="16"/>
                <w:szCs w:val="16"/>
                <w:lang w:eastAsia="cs-CZ"/>
              </w:rPr>
              <w:t>“ řešení – bez instalace agentů do zálohovaných virtuálních serverů či aplikací</w:t>
            </w:r>
          </w:p>
        </w:tc>
        <w:tc>
          <w:tcPr>
            <w:tcW w:w="2835" w:type="dxa"/>
            <w:tcBorders>
              <w:top w:val="nil"/>
              <w:left w:val="nil"/>
              <w:bottom w:val="single" w:sz="4" w:space="0" w:color="auto"/>
              <w:right w:val="single" w:sz="4" w:space="0" w:color="auto"/>
            </w:tcBorders>
            <w:shd w:val="clear" w:color="auto" w:fill="auto"/>
            <w:vAlign w:val="bottom"/>
            <w:hideMark/>
          </w:tcPr>
          <w:p w14:paraId="4B443D4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3EEAB6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3B4F388"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0FA110AE"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nil"/>
              <w:left w:val="nil"/>
              <w:bottom w:val="nil"/>
              <w:right w:val="single" w:sz="8" w:space="0" w:color="auto"/>
            </w:tcBorders>
            <w:shd w:val="clear" w:color="auto" w:fill="auto"/>
            <w:vAlign w:val="center"/>
            <w:hideMark/>
          </w:tcPr>
          <w:p w14:paraId="310994E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Replikace</w:t>
            </w:r>
          </w:p>
        </w:tc>
        <w:tc>
          <w:tcPr>
            <w:tcW w:w="5954" w:type="dxa"/>
            <w:tcBorders>
              <w:top w:val="nil"/>
              <w:left w:val="nil"/>
              <w:bottom w:val="nil"/>
              <w:right w:val="single" w:sz="4" w:space="0" w:color="auto"/>
            </w:tcBorders>
            <w:shd w:val="clear" w:color="auto" w:fill="auto"/>
            <w:vAlign w:val="center"/>
            <w:hideMark/>
          </w:tcPr>
          <w:p w14:paraId="57A1B2B6"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možnost replikace virtuálních strojů na jiný virtualizační nod za chodu serveru</w:t>
            </w:r>
          </w:p>
        </w:tc>
        <w:tc>
          <w:tcPr>
            <w:tcW w:w="2835" w:type="dxa"/>
            <w:tcBorders>
              <w:top w:val="nil"/>
              <w:left w:val="nil"/>
              <w:bottom w:val="single" w:sz="4" w:space="0" w:color="auto"/>
              <w:right w:val="single" w:sz="4" w:space="0" w:color="auto"/>
            </w:tcBorders>
            <w:shd w:val="clear" w:color="auto" w:fill="auto"/>
            <w:vAlign w:val="bottom"/>
            <w:hideMark/>
          </w:tcPr>
          <w:p w14:paraId="7151DFAF"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6CFF282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7B113C8" w14:textId="77777777" w:rsidTr="008D4FC8">
        <w:trPr>
          <w:trHeight w:val="675"/>
        </w:trPr>
        <w:tc>
          <w:tcPr>
            <w:tcW w:w="1124" w:type="dxa"/>
            <w:vMerge/>
            <w:tcBorders>
              <w:top w:val="nil"/>
              <w:left w:val="single" w:sz="8" w:space="0" w:color="auto"/>
              <w:bottom w:val="single" w:sz="8" w:space="0" w:color="000000"/>
              <w:right w:val="single" w:sz="8" w:space="0" w:color="auto"/>
            </w:tcBorders>
            <w:vAlign w:val="center"/>
            <w:hideMark/>
          </w:tcPr>
          <w:p w14:paraId="1FEF7044"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3FB29B9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Ochrana dat</w:t>
            </w:r>
          </w:p>
        </w:tc>
        <w:tc>
          <w:tcPr>
            <w:tcW w:w="5954" w:type="dxa"/>
            <w:tcBorders>
              <w:top w:val="single" w:sz="4" w:space="0" w:color="auto"/>
              <w:left w:val="nil"/>
              <w:bottom w:val="nil"/>
              <w:right w:val="single" w:sz="4" w:space="0" w:color="auto"/>
            </w:tcBorders>
            <w:shd w:val="clear" w:color="auto" w:fill="auto"/>
            <w:vAlign w:val="center"/>
            <w:hideMark/>
          </w:tcPr>
          <w:p w14:paraId="42080D94" w14:textId="56692FFA"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 xml:space="preserve">rovádění datově konzistentních záloh hlavních serverových aplikací – Microsoft SQL server, Exchange, </w:t>
            </w:r>
            <w:proofErr w:type="spellStart"/>
            <w:r w:rsidR="005F260B" w:rsidRPr="005F260B">
              <w:rPr>
                <w:rFonts w:ascii="Calibri" w:eastAsia="Times New Roman" w:hAnsi="Calibri"/>
                <w:color w:val="000000"/>
                <w:sz w:val="16"/>
                <w:szCs w:val="16"/>
                <w:lang w:eastAsia="cs-CZ"/>
              </w:rPr>
              <w:t>Active</w:t>
            </w:r>
            <w:proofErr w:type="spellEnd"/>
            <w:r w:rsidR="005F260B" w:rsidRPr="005F260B">
              <w:rPr>
                <w:rFonts w:ascii="Calibri" w:eastAsia="Times New Roman" w:hAnsi="Calibri"/>
                <w:color w:val="000000"/>
                <w:sz w:val="16"/>
                <w:szCs w:val="16"/>
                <w:lang w:eastAsia="cs-CZ"/>
              </w:rPr>
              <w:t xml:space="preserve"> </w:t>
            </w:r>
            <w:proofErr w:type="spellStart"/>
            <w:r w:rsidR="005F260B" w:rsidRPr="005F260B">
              <w:rPr>
                <w:rFonts w:ascii="Calibri" w:eastAsia="Times New Roman" w:hAnsi="Calibri"/>
                <w:color w:val="000000"/>
                <w:sz w:val="16"/>
                <w:szCs w:val="16"/>
                <w:lang w:eastAsia="cs-CZ"/>
              </w:rPr>
              <w:t>Directory</w:t>
            </w:r>
            <w:proofErr w:type="spellEnd"/>
            <w:r w:rsidR="005F260B" w:rsidRPr="005F260B">
              <w:rPr>
                <w:rFonts w:ascii="Calibri" w:eastAsia="Times New Roman" w:hAnsi="Calibri"/>
                <w:color w:val="000000"/>
                <w:sz w:val="16"/>
                <w:szCs w:val="16"/>
                <w:lang w:eastAsia="cs-CZ"/>
              </w:rPr>
              <w:t>, souborové systémy – bez nutnosti odstávky aplikace</w:t>
            </w:r>
          </w:p>
        </w:tc>
        <w:tc>
          <w:tcPr>
            <w:tcW w:w="2835" w:type="dxa"/>
            <w:tcBorders>
              <w:top w:val="nil"/>
              <w:left w:val="nil"/>
              <w:bottom w:val="single" w:sz="4" w:space="0" w:color="auto"/>
              <w:right w:val="single" w:sz="4" w:space="0" w:color="auto"/>
            </w:tcBorders>
            <w:shd w:val="clear" w:color="auto" w:fill="auto"/>
            <w:vAlign w:val="bottom"/>
            <w:hideMark/>
          </w:tcPr>
          <w:p w14:paraId="49FDCE2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28DB149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C55FEAF"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5F50CB54"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3995301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Podpora WAN</w:t>
            </w:r>
          </w:p>
        </w:tc>
        <w:tc>
          <w:tcPr>
            <w:tcW w:w="5954" w:type="dxa"/>
            <w:tcBorders>
              <w:top w:val="single" w:sz="4" w:space="0" w:color="auto"/>
              <w:left w:val="nil"/>
              <w:bottom w:val="nil"/>
              <w:right w:val="single" w:sz="4" w:space="0" w:color="auto"/>
            </w:tcBorders>
            <w:shd w:val="clear" w:color="auto" w:fill="auto"/>
            <w:vAlign w:val="center"/>
            <w:hideMark/>
          </w:tcPr>
          <w:p w14:paraId="2B634670" w14:textId="04CA0541"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5F260B" w:rsidRPr="005F260B">
              <w:rPr>
                <w:rFonts w:ascii="Calibri" w:eastAsia="Times New Roman" w:hAnsi="Calibri"/>
                <w:color w:val="000000"/>
                <w:sz w:val="16"/>
                <w:szCs w:val="16"/>
                <w:lang w:eastAsia="cs-CZ"/>
              </w:rPr>
              <w:t>ožnost plnohodnotné replikace přes WAN pro replikaci virtuálních serverů do vzdálených lokalit</w:t>
            </w:r>
          </w:p>
        </w:tc>
        <w:tc>
          <w:tcPr>
            <w:tcW w:w="2835" w:type="dxa"/>
            <w:tcBorders>
              <w:top w:val="nil"/>
              <w:left w:val="nil"/>
              <w:bottom w:val="single" w:sz="4" w:space="0" w:color="auto"/>
              <w:right w:val="single" w:sz="4" w:space="0" w:color="auto"/>
            </w:tcBorders>
            <w:shd w:val="clear" w:color="auto" w:fill="auto"/>
            <w:vAlign w:val="bottom"/>
            <w:hideMark/>
          </w:tcPr>
          <w:p w14:paraId="1A920D3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012626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07D3F2C" w14:textId="77777777" w:rsidTr="008D4FC8">
        <w:trPr>
          <w:trHeight w:val="450"/>
        </w:trPr>
        <w:tc>
          <w:tcPr>
            <w:tcW w:w="1124" w:type="dxa"/>
            <w:vMerge/>
            <w:tcBorders>
              <w:top w:val="nil"/>
              <w:left w:val="single" w:sz="8" w:space="0" w:color="auto"/>
              <w:bottom w:val="single" w:sz="4" w:space="0" w:color="auto"/>
              <w:right w:val="single" w:sz="8" w:space="0" w:color="auto"/>
            </w:tcBorders>
            <w:vAlign w:val="center"/>
            <w:hideMark/>
          </w:tcPr>
          <w:p w14:paraId="5A183D64"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single" w:sz="4" w:space="0" w:color="auto"/>
              <w:right w:val="single" w:sz="8" w:space="0" w:color="auto"/>
            </w:tcBorders>
            <w:shd w:val="clear" w:color="auto" w:fill="auto"/>
            <w:vAlign w:val="center"/>
            <w:hideMark/>
          </w:tcPr>
          <w:p w14:paraId="6EF7F98C" w14:textId="77777777" w:rsidR="005F260B" w:rsidRPr="005F260B" w:rsidRDefault="005F260B" w:rsidP="005F260B">
            <w:pPr>
              <w:spacing w:after="0"/>
              <w:jc w:val="left"/>
              <w:rPr>
                <w:rFonts w:ascii="Calibri" w:eastAsia="Times New Roman" w:hAnsi="Calibri"/>
                <w:color w:val="000000"/>
                <w:sz w:val="16"/>
                <w:szCs w:val="16"/>
                <w:lang w:eastAsia="cs-CZ"/>
              </w:rPr>
            </w:pPr>
            <w:proofErr w:type="spellStart"/>
            <w:r w:rsidRPr="005F260B">
              <w:rPr>
                <w:rFonts w:ascii="Calibri" w:eastAsia="Times New Roman" w:hAnsi="Calibri"/>
                <w:color w:val="000000"/>
                <w:sz w:val="16"/>
                <w:szCs w:val="16"/>
                <w:lang w:eastAsia="cs-CZ"/>
              </w:rPr>
              <w:t>Snapshoty</w:t>
            </w:r>
            <w:proofErr w:type="spellEnd"/>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3A2D4FFE" w14:textId="6815F781"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V</w:t>
            </w:r>
            <w:r w:rsidR="005F260B" w:rsidRPr="005F260B">
              <w:rPr>
                <w:rFonts w:ascii="Calibri" w:eastAsia="Times New Roman" w:hAnsi="Calibri"/>
                <w:color w:val="000000"/>
                <w:sz w:val="16"/>
                <w:szCs w:val="16"/>
                <w:lang w:eastAsia="cs-CZ"/>
              </w:rPr>
              <w:t xml:space="preserve">yužívání </w:t>
            </w:r>
            <w:proofErr w:type="spellStart"/>
            <w:r w:rsidR="005F260B" w:rsidRPr="005F260B">
              <w:rPr>
                <w:rFonts w:ascii="Calibri" w:eastAsia="Times New Roman" w:hAnsi="Calibri"/>
                <w:color w:val="000000"/>
                <w:sz w:val="16"/>
                <w:szCs w:val="16"/>
                <w:lang w:eastAsia="cs-CZ"/>
              </w:rPr>
              <w:t>snapshotů</w:t>
            </w:r>
            <w:proofErr w:type="spellEnd"/>
            <w:r w:rsidR="005F260B" w:rsidRPr="005F260B">
              <w:rPr>
                <w:rFonts w:ascii="Calibri" w:eastAsia="Times New Roman" w:hAnsi="Calibri"/>
                <w:color w:val="000000"/>
                <w:sz w:val="16"/>
                <w:szCs w:val="16"/>
                <w:lang w:eastAsia="cs-CZ"/>
              </w:rPr>
              <w:t>,  zálohování pouze dat změněných od poslední úspěšné zálohy</w:t>
            </w:r>
          </w:p>
        </w:tc>
        <w:tc>
          <w:tcPr>
            <w:tcW w:w="2835" w:type="dxa"/>
            <w:tcBorders>
              <w:top w:val="nil"/>
              <w:left w:val="nil"/>
              <w:bottom w:val="single" w:sz="4" w:space="0" w:color="auto"/>
              <w:right w:val="single" w:sz="4" w:space="0" w:color="auto"/>
            </w:tcBorders>
            <w:shd w:val="clear" w:color="auto" w:fill="auto"/>
            <w:vAlign w:val="bottom"/>
            <w:hideMark/>
          </w:tcPr>
          <w:p w14:paraId="77629EE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D77301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1300625" w14:textId="77777777" w:rsidTr="008D4FC8">
        <w:trPr>
          <w:trHeight w:val="450"/>
        </w:trPr>
        <w:tc>
          <w:tcPr>
            <w:tcW w:w="1124" w:type="dxa"/>
            <w:vMerge/>
            <w:tcBorders>
              <w:top w:val="single" w:sz="4" w:space="0" w:color="auto"/>
              <w:left w:val="single" w:sz="8" w:space="0" w:color="auto"/>
              <w:bottom w:val="single" w:sz="8" w:space="0" w:color="000000"/>
              <w:right w:val="single" w:sz="8" w:space="0" w:color="auto"/>
            </w:tcBorders>
            <w:vAlign w:val="center"/>
            <w:hideMark/>
          </w:tcPr>
          <w:p w14:paraId="5FED39C6"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2ACE4303"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Kompatibilita</w:t>
            </w:r>
          </w:p>
        </w:tc>
        <w:tc>
          <w:tcPr>
            <w:tcW w:w="5954" w:type="dxa"/>
            <w:tcBorders>
              <w:top w:val="single" w:sz="4" w:space="0" w:color="auto"/>
              <w:left w:val="nil"/>
              <w:bottom w:val="nil"/>
              <w:right w:val="single" w:sz="4" w:space="0" w:color="auto"/>
            </w:tcBorders>
            <w:shd w:val="clear" w:color="auto" w:fill="auto"/>
            <w:vAlign w:val="center"/>
            <w:hideMark/>
          </w:tcPr>
          <w:p w14:paraId="45EDA67A" w14:textId="7723C61A"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5F260B" w:rsidRPr="005F260B">
              <w:rPr>
                <w:rFonts w:ascii="Calibri" w:eastAsia="Times New Roman" w:hAnsi="Calibri"/>
                <w:color w:val="000000"/>
                <w:sz w:val="16"/>
                <w:szCs w:val="16"/>
                <w:lang w:eastAsia="cs-CZ"/>
              </w:rPr>
              <w:t>odpora operačních systémů Windows a Linux v zálohovaných virtuálních serverech</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14:paraId="49186EB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single" w:sz="4" w:space="0" w:color="auto"/>
              <w:left w:val="nil"/>
              <w:bottom w:val="single" w:sz="4" w:space="0" w:color="auto"/>
              <w:right w:val="single" w:sz="8" w:space="0" w:color="auto"/>
            </w:tcBorders>
            <w:shd w:val="clear" w:color="auto" w:fill="auto"/>
            <w:vAlign w:val="bottom"/>
            <w:hideMark/>
          </w:tcPr>
          <w:p w14:paraId="495D090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2B67D821"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7A68808C"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1618632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Uložiště záloh</w:t>
            </w:r>
          </w:p>
        </w:tc>
        <w:tc>
          <w:tcPr>
            <w:tcW w:w="5954" w:type="dxa"/>
            <w:tcBorders>
              <w:top w:val="single" w:sz="4" w:space="0" w:color="auto"/>
              <w:left w:val="nil"/>
              <w:bottom w:val="nil"/>
              <w:right w:val="single" w:sz="4" w:space="0" w:color="auto"/>
            </w:tcBorders>
            <w:shd w:val="clear" w:color="auto" w:fill="auto"/>
            <w:vAlign w:val="center"/>
            <w:hideMark/>
          </w:tcPr>
          <w:p w14:paraId="40A0EFBD"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Možnost ukládání záloh na diskový prostor a páskovou jednotku/knihovnu</w:t>
            </w:r>
          </w:p>
        </w:tc>
        <w:tc>
          <w:tcPr>
            <w:tcW w:w="2835" w:type="dxa"/>
            <w:tcBorders>
              <w:top w:val="nil"/>
              <w:left w:val="nil"/>
              <w:bottom w:val="single" w:sz="4" w:space="0" w:color="auto"/>
              <w:right w:val="single" w:sz="4" w:space="0" w:color="auto"/>
            </w:tcBorders>
            <w:shd w:val="clear" w:color="auto" w:fill="auto"/>
            <w:vAlign w:val="bottom"/>
            <w:hideMark/>
          </w:tcPr>
          <w:p w14:paraId="791A095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6E4323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3C37865"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49DB239C"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76F1E54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Podpora DR (</w:t>
            </w:r>
            <w:proofErr w:type="spellStart"/>
            <w:r w:rsidRPr="005F260B">
              <w:rPr>
                <w:rFonts w:ascii="Calibri" w:eastAsia="Times New Roman" w:hAnsi="Calibri"/>
                <w:color w:val="000000"/>
                <w:sz w:val="16"/>
                <w:szCs w:val="16"/>
                <w:lang w:eastAsia="cs-CZ"/>
              </w:rPr>
              <w:t>disaster</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recovery</w:t>
            </w:r>
            <w:proofErr w:type="spellEnd"/>
            <w:r w:rsidRPr="005F260B">
              <w:rPr>
                <w:rFonts w:ascii="Calibri" w:eastAsia="Times New Roman" w:hAnsi="Calibri"/>
                <w:color w:val="000000"/>
                <w:sz w:val="16"/>
                <w:szCs w:val="16"/>
                <w:lang w:eastAsia="cs-CZ"/>
              </w:rPr>
              <w:t>)</w:t>
            </w:r>
          </w:p>
        </w:tc>
        <w:tc>
          <w:tcPr>
            <w:tcW w:w="5954" w:type="dxa"/>
            <w:tcBorders>
              <w:top w:val="single" w:sz="4" w:space="0" w:color="auto"/>
              <w:left w:val="nil"/>
              <w:bottom w:val="nil"/>
              <w:right w:val="single" w:sz="4" w:space="0" w:color="auto"/>
            </w:tcBorders>
            <w:shd w:val="clear" w:color="auto" w:fill="auto"/>
            <w:vAlign w:val="center"/>
            <w:hideMark/>
          </w:tcPr>
          <w:p w14:paraId="38F67558"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Možnost nouzového spuštění </w:t>
            </w:r>
            <w:proofErr w:type="spellStart"/>
            <w:r w:rsidRPr="005F260B">
              <w:rPr>
                <w:rFonts w:ascii="Calibri" w:eastAsia="Times New Roman" w:hAnsi="Calibri"/>
                <w:color w:val="000000"/>
                <w:sz w:val="16"/>
                <w:szCs w:val="16"/>
                <w:lang w:eastAsia="cs-CZ"/>
              </w:rPr>
              <w:t>zazálohovaného</w:t>
            </w:r>
            <w:proofErr w:type="spellEnd"/>
            <w:r w:rsidRPr="005F260B">
              <w:rPr>
                <w:rFonts w:ascii="Calibri" w:eastAsia="Times New Roman" w:hAnsi="Calibri"/>
                <w:color w:val="000000"/>
                <w:sz w:val="16"/>
                <w:szCs w:val="16"/>
                <w:lang w:eastAsia="cs-CZ"/>
              </w:rPr>
              <w:t xml:space="preserve"> virtuálního serveru z NAS v izolovaném prostředí bez nutnosti obnovy</w:t>
            </w:r>
          </w:p>
        </w:tc>
        <w:tc>
          <w:tcPr>
            <w:tcW w:w="2835" w:type="dxa"/>
            <w:tcBorders>
              <w:top w:val="nil"/>
              <w:left w:val="nil"/>
              <w:bottom w:val="single" w:sz="4" w:space="0" w:color="auto"/>
              <w:right w:val="single" w:sz="4" w:space="0" w:color="auto"/>
            </w:tcBorders>
            <w:shd w:val="clear" w:color="auto" w:fill="auto"/>
            <w:vAlign w:val="bottom"/>
            <w:hideMark/>
          </w:tcPr>
          <w:p w14:paraId="620077A0"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6FA19F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7EE3FC4E"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CEE75BB"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63278C3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Správa</w:t>
            </w:r>
          </w:p>
        </w:tc>
        <w:tc>
          <w:tcPr>
            <w:tcW w:w="5954" w:type="dxa"/>
            <w:tcBorders>
              <w:top w:val="single" w:sz="4" w:space="0" w:color="auto"/>
              <w:left w:val="nil"/>
              <w:bottom w:val="nil"/>
              <w:right w:val="single" w:sz="4" w:space="0" w:color="auto"/>
            </w:tcBorders>
            <w:shd w:val="clear" w:color="auto" w:fill="auto"/>
            <w:vAlign w:val="center"/>
            <w:hideMark/>
          </w:tcPr>
          <w:p w14:paraId="7F3B92AA" w14:textId="1EEA8BE2"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V</w:t>
            </w:r>
            <w:r w:rsidR="005F260B" w:rsidRPr="005F260B">
              <w:rPr>
                <w:rFonts w:ascii="Calibri" w:eastAsia="Times New Roman" w:hAnsi="Calibri"/>
                <w:color w:val="000000"/>
                <w:sz w:val="16"/>
                <w:szCs w:val="16"/>
                <w:lang w:eastAsia="cs-CZ"/>
              </w:rPr>
              <w:t>ytváření a správa úloh (zálohování, obnova apod.) pomocí průvodců</w:t>
            </w:r>
          </w:p>
        </w:tc>
        <w:tc>
          <w:tcPr>
            <w:tcW w:w="2835" w:type="dxa"/>
            <w:tcBorders>
              <w:top w:val="nil"/>
              <w:left w:val="nil"/>
              <w:bottom w:val="single" w:sz="4" w:space="0" w:color="auto"/>
              <w:right w:val="single" w:sz="4" w:space="0" w:color="auto"/>
            </w:tcBorders>
            <w:shd w:val="clear" w:color="auto" w:fill="auto"/>
            <w:vAlign w:val="bottom"/>
            <w:hideMark/>
          </w:tcPr>
          <w:p w14:paraId="2B767ECB"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BEAEF1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9F4191E"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B533559"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1232584C"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Správa</w:t>
            </w:r>
          </w:p>
        </w:tc>
        <w:tc>
          <w:tcPr>
            <w:tcW w:w="5954" w:type="dxa"/>
            <w:tcBorders>
              <w:top w:val="single" w:sz="4" w:space="0" w:color="auto"/>
              <w:left w:val="nil"/>
              <w:bottom w:val="nil"/>
              <w:right w:val="single" w:sz="4" w:space="0" w:color="auto"/>
            </w:tcBorders>
            <w:shd w:val="clear" w:color="auto" w:fill="auto"/>
            <w:vAlign w:val="center"/>
            <w:hideMark/>
          </w:tcPr>
          <w:p w14:paraId="30722198" w14:textId="07EF743A" w:rsidR="005F260B" w:rsidRPr="005F260B" w:rsidRDefault="00CE347D" w:rsidP="005F260B">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A</w:t>
            </w:r>
            <w:r w:rsidR="005F260B" w:rsidRPr="005F260B">
              <w:rPr>
                <w:rFonts w:ascii="Calibri" w:eastAsia="Times New Roman" w:hAnsi="Calibri"/>
                <w:color w:val="000000"/>
                <w:sz w:val="16"/>
                <w:szCs w:val="16"/>
                <w:lang w:eastAsia="cs-CZ"/>
              </w:rPr>
              <w:t>utomatický reporting úspěšných i neúspěšných úloh</w:t>
            </w:r>
          </w:p>
        </w:tc>
        <w:tc>
          <w:tcPr>
            <w:tcW w:w="2835" w:type="dxa"/>
            <w:tcBorders>
              <w:top w:val="nil"/>
              <w:left w:val="nil"/>
              <w:bottom w:val="single" w:sz="4" w:space="0" w:color="auto"/>
              <w:right w:val="single" w:sz="4" w:space="0" w:color="auto"/>
            </w:tcBorders>
            <w:shd w:val="clear" w:color="auto" w:fill="auto"/>
            <w:vAlign w:val="bottom"/>
            <w:hideMark/>
          </w:tcPr>
          <w:p w14:paraId="257F90B9"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29DFCE25"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07955C0E" w14:textId="77777777" w:rsidTr="008D4FC8">
        <w:trPr>
          <w:trHeight w:val="570"/>
        </w:trPr>
        <w:tc>
          <w:tcPr>
            <w:tcW w:w="1124" w:type="dxa"/>
            <w:vMerge/>
            <w:tcBorders>
              <w:top w:val="nil"/>
              <w:left w:val="single" w:sz="8" w:space="0" w:color="auto"/>
              <w:bottom w:val="single" w:sz="8" w:space="0" w:color="000000"/>
              <w:right w:val="single" w:sz="8" w:space="0" w:color="auto"/>
            </w:tcBorders>
            <w:vAlign w:val="center"/>
            <w:hideMark/>
          </w:tcPr>
          <w:p w14:paraId="747445CC"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2BA6A24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Správa</w:t>
            </w:r>
          </w:p>
        </w:tc>
        <w:tc>
          <w:tcPr>
            <w:tcW w:w="5954" w:type="dxa"/>
            <w:tcBorders>
              <w:top w:val="single" w:sz="4" w:space="0" w:color="auto"/>
              <w:left w:val="nil"/>
              <w:bottom w:val="nil"/>
              <w:right w:val="single" w:sz="4" w:space="0" w:color="auto"/>
            </w:tcBorders>
            <w:shd w:val="clear" w:color="auto" w:fill="auto"/>
            <w:vAlign w:val="center"/>
            <w:hideMark/>
          </w:tcPr>
          <w:p w14:paraId="32ABC79F"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Běžné úlohy obnovy (obnovení souboru, databáze SQL, objekty </w:t>
            </w:r>
            <w:proofErr w:type="spellStart"/>
            <w:r w:rsidRPr="005F260B">
              <w:rPr>
                <w:rFonts w:ascii="Calibri" w:eastAsia="Times New Roman" w:hAnsi="Calibri"/>
                <w:color w:val="000000"/>
                <w:sz w:val="16"/>
                <w:szCs w:val="16"/>
                <w:lang w:eastAsia="cs-CZ"/>
              </w:rPr>
              <w:t>Active</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Directory</w:t>
            </w:r>
            <w:proofErr w:type="spellEnd"/>
            <w:r w:rsidRPr="005F260B">
              <w:rPr>
                <w:rFonts w:ascii="Calibri" w:eastAsia="Times New Roman" w:hAnsi="Calibri"/>
                <w:color w:val="000000"/>
                <w:sz w:val="16"/>
                <w:szCs w:val="16"/>
                <w:lang w:eastAsia="cs-CZ"/>
              </w:rPr>
              <w:t>) provádět pomocí průvodců.</w:t>
            </w:r>
          </w:p>
        </w:tc>
        <w:tc>
          <w:tcPr>
            <w:tcW w:w="2835" w:type="dxa"/>
            <w:tcBorders>
              <w:top w:val="nil"/>
              <w:left w:val="nil"/>
              <w:bottom w:val="single" w:sz="4" w:space="0" w:color="auto"/>
              <w:right w:val="single" w:sz="4" w:space="0" w:color="auto"/>
            </w:tcBorders>
            <w:shd w:val="clear" w:color="auto" w:fill="auto"/>
            <w:vAlign w:val="bottom"/>
            <w:hideMark/>
          </w:tcPr>
          <w:p w14:paraId="0315EC1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B0EF33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20DD0E1D" w14:textId="77777777" w:rsidTr="008D4FC8">
        <w:trPr>
          <w:trHeight w:val="570"/>
        </w:trPr>
        <w:tc>
          <w:tcPr>
            <w:tcW w:w="1124" w:type="dxa"/>
            <w:vMerge/>
            <w:tcBorders>
              <w:top w:val="nil"/>
              <w:left w:val="single" w:sz="8" w:space="0" w:color="auto"/>
              <w:bottom w:val="single" w:sz="8" w:space="0" w:color="000000"/>
              <w:right w:val="single" w:sz="8" w:space="0" w:color="auto"/>
            </w:tcBorders>
            <w:vAlign w:val="center"/>
            <w:hideMark/>
          </w:tcPr>
          <w:p w14:paraId="07F92BD4"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7D1313F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Kompatibilita</w:t>
            </w:r>
          </w:p>
        </w:tc>
        <w:tc>
          <w:tcPr>
            <w:tcW w:w="5954" w:type="dxa"/>
            <w:tcBorders>
              <w:top w:val="single" w:sz="4" w:space="0" w:color="auto"/>
              <w:left w:val="nil"/>
              <w:bottom w:val="nil"/>
              <w:right w:val="single" w:sz="4" w:space="0" w:color="auto"/>
            </w:tcBorders>
            <w:shd w:val="clear" w:color="auto" w:fill="auto"/>
            <w:vAlign w:val="center"/>
            <w:hideMark/>
          </w:tcPr>
          <w:p w14:paraId="5FF1F486"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xml:space="preserve">Kompatibilita se stávajícím systémem </w:t>
            </w:r>
            <w:proofErr w:type="spellStart"/>
            <w:r w:rsidRPr="005F260B">
              <w:rPr>
                <w:rFonts w:ascii="Calibri" w:eastAsia="Times New Roman" w:hAnsi="Calibri"/>
                <w:color w:val="000000"/>
                <w:sz w:val="16"/>
                <w:szCs w:val="16"/>
                <w:lang w:eastAsia="cs-CZ"/>
              </w:rPr>
              <w:t>Veeam</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Backup</w:t>
            </w:r>
            <w:proofErr w:type="spellEnd"/>
            <w:r w:rsidRPr="005F260B">
              <w:rPr>
                <w:rFonts w:ascii="Calibri" w:eastAsia="Times New Roman" w:hAnsi="Calibri"/>
                <w:color w:val="000000"/>
                <w:sz w:val="16"/>
                <w:szCs w:val="16"/>
                <w:lang w:eastAsia="cs-CZ"/>
              </w:rPr>
              <w:t xml:space="preserve"> </w:t>
            </w:r>
            <w:proofErr w:type="spellStart"/>
            <w:r w:rsidRPr="005F260B">
              <w:rPr>
                <w:rFonts w:ascii="Calibri" w:eastAsia="Times New Roman" w:hAnsi="Calibri"/>
                <w:color w:val="000000"/>
                <w:sz w:val="16"/>
                <w:szCs w:val="16"/>
                <w:lang w:eastAsia="cs-CZ"/>
              </w:rPr>
              <w:t>Enterprise</w:t>
            </w:r>
            <w:proofErr w:type="spellEnd"/>
          </w:p>
        </w:tc>
        <w:tc>
          <w:tcPr>
            <w:tcW w:w="2835" w:type="dxa"/>
            <w:tcBorders>
              <w:top w:val="nil"/>
              <w:left w:val="nil"/>
              <w:bottom w:val="nil"/>
              <w:right w:val="single" w:sz="4" w:space="0" w:color="auto"/>
            </w:tcBorders>
            <w:shd w:val="clear" w:color="auto" w:fill="auto"/>
            <w:vAlign w:val="bottom"/>
            <w:hideMark/>
          </w:tcPr>
          <w:p w14:paraId="603E9404"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nil"/>
              <w:left w:val="nil"/>
              <w:bottom w:val="nil"/>
              <w:right w:val="single" w:sz="8" w:space="0" w:color="auto"/>
            </w:tcBorders>
            <w:shd w:val="clear" w:color="auto" w:fill="auto"/>
            <w:vAlign w:val="bottom"/>
            <w:hideMark/>
          </w:tcPr>
          <w:p w14:paraId="5BC14766"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r w:rsidR="005F260B" w:rsidRPr="005F260B" w14:paraId="1013C9AE" w14:textId="77777777" w:rsidTr="008D4FC8">
        <w:trPr>
          <w:trHeight w:val="315"/>
        </w:trPr>
        <w:tc>
          <w:tcPr>
            <w:tcW w:w="1124" w:type="dxa"/>
            <w:vMerge/>
            <w:tcBorders>
              <w:top w:val="nil"/>
              <w:left w:val="single" w:sz="8" w:space="0" w:color="auto"/>
              <w:bottom w:val="single" w:sz="8" w:space="0" w:color="000000"/>
              <w:right w:val="single" w:sz="8" w:space="0" w:color="auto"/>
            </w:tcBorders>
            <w:vAlign w:val="center"/>
            <w:hideMark/>
          </w:tcPr>
          <w:p w14:paraId="5B734440" w14:textId="77777777" w:rsidR="005F260B" w:rsidRPr="005F260B" w:rsidRDefault="005F260B" w:rsidP="005F260B">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700E43A8"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w:t>
            </w:r>
          </w:p>
        </w:tc>
        <w:tc>
          <w:tcPr>
            <w:tcW w:w="5954" w:type="dxa"/>
            <w:tcBorders>
              <w:top w:val="single" w:sz="4" w:space="0" w:color="auto"/>
              <w:left w:val="nil"/>
              <w:bottom w:val="single" w:sz="8" w:space="0" w:color="auto"/>
              <w:right w:val="single" w:sz="4" w:space="0" w:color="auto"/>
            </w:tcBorders>
            <w:shd w:val="clear" w:color="auto" w:fill="auto"/>
            <w:vAlign w:val="center"/>
            <w:hideMark/>
          </w:tcPr>
          <w:p w14:paraId="6E468043" w14:textId="77777777" w:rsidR="005F260B" w:rsidRPr="005F260B" w:rsidRDefault="005F260B" w:rsidP="005F260B">
            <w:pPr>
              <w:spacing w:after="0"/>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Záruka 12 měsíců včetně nároku na nové verze software</w:t>
            </w:r>
          </w:p>
        </w:tc>
        <w:tc>
          <w:tcPr>
            <w:tcW w:w="2835" w:type="dxa"/>
            <w:tcBorders>
              <w:top w:val="single" w:sz="4" w:space="0" w:color="auto"/>
              <w:left w:val="nil"/>
              <w:bottom w:val="single" w:sz="8" w:space="0" w:color="auto"/>
              <w:right w:val="single" w:sz="4" w:space="0" w:color="auto"/>
            </w:tcBorders>
            <w:shd w:val="clear" w:color="auto" w:fill="auto"/>
            <w:vAlign w:val="bottom"/>
            <w:hideMark/>
          </w:tcPr>
          <w:p w14:paraId="21B36A7A"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c>
          <w:tcPr>
            <w:tcW w:w="2428" w:type="dxa"/>
            <w:tcBorders>
              <w:top w:val="single" w:sz="4" w:space="0" w:color="auto"/>
              <w:left w:val="nil"/>
              <w:bottom w:val="single" w:sz="8" w:space="0" w:color="auto"/>
              <w:right w:val="single" w:sz="8" w:space="0" w:color="auto"/>
            </w:tcBorders>
            <w:shd w:val="clear" w:color="auto" w:fill="auto"/>
            <w:vAlign w:val="bottom"/>
            <w:hideMark/>
          </w:tcPr>
          <w:p w14:paraId="7B087F97" w14:textId="77777777" w:rsidR="005F260B" w:rsidRPr="005F260B" w:rsidRDefault="005F260B" w:rsidP="005F260B">
            <w:pPr>
              <w:spacing w:after="0"/>
              <w:jc w:val="left"/>
              <w:rPr>
                <w:rFonts w:ascii="Calibri" w:eastAsia="Times New Roman" w:hAnsi="Calibri"/>
                <w:color w:val="000000"/>
                <w:sz w:val="16"/>
                <w:szCs w:val="16"/>
                <w:lang w:eastAsia="cs-CZ"/>
              </w:rPr>
            </w:pPr>
            <w:r w:rsidRPr="005F260B">
              <w:rPr>
                <w:rFonts w:ascii="Calibri" w:eastAsia="Times New Roman" w:hAnsi="Calibri"/>
                <w:color w:val="000000"/>
                <w:sz w:val="16"/>
                <w:szCs w:val="16"/>
                <w:lang w:eastAsia="cs-CZ"/>
              </w:rPr>
              <w:t> </w:t>
            </w:r>
          </w:p>
        </w:tc>
      </w:tr>
    </w:tbl>
    <w:p w14:paraId="3DE4DB1E" w14:textId="77777777" w:rsidR="00DE30EC" w:rsidRDefault="00DE30EC" w:rsidP="00237F6F">
      <w:pPr>
        <w:pStyle w:val="Normln-Odstavec"/>
        <w:numPr>
          <w:ilvl w:val="0"/>
          <w:numId w:val="0"/>
        </w:numPr>
      </w:pPr>
    </w:p>
    <w:tbl>
      <w:tblPr>
        <w:tblW w:w="0" w:type="auto"/>
        <w:tblInd w:w="80" w:type="dxa"/>
        <w:tblLayout w:type="fixed"/>
        <w:tblCellMar>
          <w:left w:w="70" w:type="dxa"/>
          <w:right w:w="70" w:type="dxa"/>
        </w:tblCellMar>
        <w:tblLook w:val="04A0" w:firstRow="1" w:lastRow="0" w:firstColumn="1" w:lastColumn="0" w:noHBand="0" w:noVBand="1"/>
      </w:tblPr>
      <w:tblGrid>
        <w:gridCol w:w="1124"/>
        <w:gridCol w:w="1276"/>
        <w:gridCol w:w="5954"/>
        <w:gridCol w:w="2835"/>
        <w:gridCol w:w="2428"/>
      </w:tblGrid>
      <w:tr w:rsidR="008D4FC8" w:rsidRPr="008D4FC8" w14:paraId="6FBFA510" w14:textId="77777777" w:rsidTr="008D4FC8">
        <w:trPr>
          <w:cantSplit/>
          <w:trHeight w:val="510"/>
          <w:tblHeader/>
        </w:trPr>
        <w:tc>
          <w:tcPr>
            <w:tcW w:w="13617" w:type="dxa"/>
            <w:gridSpan w:val="5"/>
            <w:tcBorders>
              <w:top w:val="single" w:sz="8" w:space="0" w:color="auto"/>
              <w:left w:val="single" w:sz="8" w:space="0" w:color="auto"/>
              <w:bottom w:val="single" w:sz="8" w:space="0" w:color="auto"/>
              <w:right w:val="single" w:sz="8" w:space="0" w:color="000000"/>
            </w:tcBorders>
            <w:shd w:val="clear" w:color="000000" w:fill="C6D9F1"/>
            <w:vAlign w:val="center"/>
            <w:hideMark/>
          </w:tcPr>
          <w:p w14:paraId="4969827C" w14:textId="6D0C22F0" w:rsidR="008D4FC8" w:rsidRPr="008D4FC8" w:rsidRDefault="008D4FC8" w:rsidP="008D4FC8">
            <w:pPr>
              <w:spacing w:after="0"/>
              <w:jc w:val="left"/>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 xml:space="preserve">Komodita K2 </w:t>
            </w:r>
            <w:r>
              <w:rPr>
                <w:rFonts w:ascii="Arial" w:eastAsia="Times New Roman" w:hAnsi="Arial" w:cs="Arial"/>
                <w:b/>
                <w:bCs/>
                <w:color w:val="000000"/>
                <w:sz w:val="16"/>
                <w:szCs w:val="16"/>
                <w:lang w:eastAsia="cs-CZ"/>
              </w:rPr>
              <w:t>–</w:t>
            </w:r>
            <w:r w:rsidRPr="008D4FC8">
              <w:rPr>
                <w:rFonts w:ascii="Arial" w:eastAsia="Times New Roman" w:hAnsi="Arial" w:cs="Arial"/>
                <w:b/>
                <w:bCs/>
                <w:color w:val="000000"/>
                <w:sz w:val="16"/>
                <w:szCs w:val="16"/>
                <w:lang w:eastAsia="cs-CZ"/>
              </w:rPr>
              <w:t xml:space="preserve"> </w:t>
            </w:r>
            <w:r>
              <w:rPr>
                <w:rFonts w:ascii="Arial" w:eastAsia="Times New Roman" w:hAnsi="Arial" w:cs="Arial"/>
                <w:b/>
                <w:bCs/>
                <w:color w:val="000000"/>
                <w:sz w:val="16"/>
                <w:szCs w:val="16"/>
                <w:lang w:eastAsia="cs-CZ"/>
              </w:rPr>
              <w:t>Bezpečnostní systém</w:t>
            </w:r>
          </w:p>
        </w:tc>
      </w:tr>
      <w:tr w:rsidR="008D4FC8" w:rsidRPr="008D4FC8" w14:paraId="723365D9" w14:textId="77777777" w:rsidTr="008D4FC8">
        <w:trPr>
          <w:trHeight w:val="300"/>
        </w:trPr>
        <w:tc>
          <w:tcPr>
            <w:tcW w:w="1124" w:type="dxa"/>
            <w:vMerge w:val="restart"/>
            <w:tcBorders>
              <w:top w:val="nil"/>
              <w:left w:val="single" w:sz="8" w:space="0" w:color="auto"/>
              <w:bottom w:val="single" w:sz="8" w:space="0" w:color="000000"/>
              <w:right w:val="single" w:sz="4" w:space="0" w:color="auto"/>
            </w:tcBorders>
            <w:shd w:val="clear" w:color="000000" w:fill="F2F2F2"/>
            <w:vAlign w:val="center"/>
            <w:hideMark/>
          </w:tcPr>
          <w:p w14:paraId="262C44BC"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Část</w:t>
            </w:r>
          </w:p>
        </w:tc>
        <w:tc>
          <w:tcPr>
            <w:tcW w:w="1276"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0B55A5C2"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Parametr</w:t>
            </w:r>
          </w:p>
        </w:tc>
        <w:tc>
          <w:tcPr>
            <w:tcW w:w="5954"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6FC4C590"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Popis povinného parametru</w:t>
            </w:r>
          </w:p>
        </w:tc>
        <w:tc>
          <w:tcPr>
            <w:tcW w:w="2835"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6ADC0717"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Uchazeč popíše způsob naplnění tohoto povinného parametru včetně značkové specifikace nabízených dodávek</w:t>
            </w:r>
          </w:p>
        </w:tc>
        <w:tc>
          <w:tcPr>
            <w:tcW w:w="2428" w:type="dxa"/>
            <w:vMerge w:val="restart"/>
            <w:tcBorders>
              <w:top w:val="nil"/>
              <w:left w:val="single" w:sz="4" w:space="0" w:color="auto"/>
              <w:bottom w:val="single" w:sz="8" w:space="0" w:color="000000"/>
              <w:right w:val="single" w:sz="8" w:space="0" w:color="auto"/>
            </w:tcBorders>
            <w:shd w:val="clear" w:color="000000" w:fill="F2F2F2"/>
            <w:vAlign w:val="center"/>
            <w:hideMark/>
          </w:tcPr>
          <w:p w14:paraId="1608FF36"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Uchazeč uvede odkaz na přiloženou část nabídky, kde je možné ověřit naplnění parametru</w:t>
            </w:r>
          </w:p>
        </w:tc>
      </w:tr>
      <w:tr w:rsidR="008D4FC8" w:rsidRPr="008D4FC8" w14:paraId="0BD9B79A" w14:textId="77777777" w:rsidTr="008D4FC8">
        <w:trPr>
          <w:trHeight w:val="720"/>
        </w:trPr>
        <w:tc>
          <w:tcPr>
            <w:tcW w:w="1124" w:type="dxa"/>
            <w:vMerge/>
            <w:tcBorders>
              <w:top w:val="nil"/>
              <w:left w:val="single" w:sz="8" w:space="0" w:color="auto"/>
              <w:bottom w:val="single" w:sz="8" w:space="0" w:color="000000"/>
              <w:right w:val="single" w:sz="4" w:space="0" w:color="auto"/>
            </w:tcBorders>
            <w:vAlign w:val="center"/>
            <w:hideMark/>
          </w:tcPr>
          <w:p w14:paraId="38D72E9E"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c>
          <w:tcPr>
            <w:tcW w:w="1276" w:type="dxa"/>
            <w:vMerge/>
            <w:tcBorders>
              <w:top w:val="nil"/>
              <w:left w:val="single" w:sz="4" w:space="0" w:color="auto"/>
              <w:bottom w:val="single" w:sz="8" w:space="0" w:color="000000"/>
              <w:right w:val="single" w:sz="4" w:space="0" w:color="auto"/>
            </w:tcBorders>
            <w:vAlign w:val="center"/>
            <w:hideMark/>
          </w:tcPr>
          <w:p w14:paraId="322435BF"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c>
          <w:tcPr>
            <w:tcW w:w="5954" w:type="dxa"/>
            <w:vMerge/>
            <w:tcBorders>
              <w:top w:val="nil"/>
              <w:left w:val="single" w:sz="4" w:space="0" w:color="auto"/>
              <w:bottom w:val="single" w:sz="8" w:space="0" w:color="000000"/>
              <w:right w:val="single" w:sz="4" w:space="0" w:color="auto"/>
            </w:tcBorders>
            <w:vAlign w:val="center"/>
            <w:hideMark/>
          </w:tcPr>
          <w:p w14:paraId="322EABC4"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c>
          <w:tcPr>
            <w:tcW w:w="2835" w:type="dxa"/>
            <w:vMerge/>
            <w:tcBorders>
              <w:top w:val="nil"/>
              <w:left w:val="single" w:sz="4" w:space="0" w:color="auto"/>
              <w:bottom w:val="single" w:sz="8" w:space="0" w:color="000000"/>
              <w:right w:val="single" w:sz="4" w:space="0" w:color="auto"/>
            </w:tcBorders>
            <w:vAlign w:val="center"/>
            <w:hideMark/>
          </w:tcPr>
          <w:p w14:paraId="43804DB4"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c>
          <w:tcPr>
            <w:tcW w:w="2428" w:type="dxa"/>
            <w:vMerge/>
            <w:tcBorders>
              <w:top w:val="nil"/>
              <w:left w:val="single" w:sz="4" w:space="0" w:color="auto"/>
              <w:bottom w:val="single" w:sz="8" w:space="0" w:color="000000"/>
              <w:right w:val="single" w:sz="8" w:space="0" w:color="auto"/>
            </w:tcBorders>
            <w:vAlign w:val="center"/>
            <w:hideMark/>
          </w:tcPr>
          <w:p w14:paraId="2C31C184"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r>
      <w:tr w:rsidR="008D4FC8" w:rsidRPr="008D4FC8" w14:paraId="7ACA8B3D" w14:textId="77777777" w:rsidTr="008D4FC8">
        <w:trPr>
          <w:trHeight w:val="690"/>
        </w:trPr>
        <w:tc>
          <w:tcPr>
            <w:tcW w:w="11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A654FD5" w14:textId="77777777" w:rsidR="008D4FC8" w:rsidRPr="008D4FC8" w:rsidRDefault="008D4FC8" w:rsidP="008D4FC8">
            <w:pPr>
              <w:spacing w:after="24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Vysoce dostupný cluster 2 kusů</w:t>
            </w:r>
            <w:r w:rsidRPr="008D4FC8">
              <w:rPr>
                <w:rFonts w:ascii="Calibri" w:eastAsia="Times New Roman" w:hAnsi="Calibri"/>
                <w:b/>
                <w:bCs/>
                <w:color w:val="000000"/>
                <w:sz w:val="16"/>
                <w:szCs w:val="16"/>
                <w:lang w:eastAsia="cs-CZ"/>
              </w:rPr>
              <w:br/>
              <w:t>HW firewallů</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5BB483C1"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Specifikace</w:t>
            </w:r>
          </w:p>
        </w:tc>
        <w:tc>
          <w:tcPr>
            <w:tcW w:w="5954" w:type="dxa"/>
            <w:tcBorders>
              <w:top w:val="nil"/>
              <w:left w:val="nil"/>
              <w:bottom w:val="single" w:sz="4" w:space="0" w:color="auto"/>
              <w:right w:val="single" w:sz="4" w:space="0" w:color="auto"/>
            </w:tcBorders>
            <w:shd w:val="clear" w:color="auto" w:fill="auto"/>
            <w:vAlign w:val="center"/>
            <w:hideMark/>
          </w:tcPr>
          <w:p w14:paraId="372F7A1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Požadujeme dodávku vysoce dostupného clusteru dvou HW firewallů typu NGFW (New </w:t>
            </w:r>
            <w:proofErr w:type="spellStart"/>
            <w:r w:rsidRPr="008D4FC8">
              <w:rPr>
                <w:rFonts w:ascii="Calibri" w:eastAsia="Times New Roman" w:hAnsi="Calibri"/>
                <w:color w:val="000000"/>
                <w:sz w:val="16"/>
                <w:szCs w:val="16"/>
                <w:lang w:eastAsia="cs-CZ"/>
              </w:rPr>
              <w:t>Generation</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FireWall</w:t>
            </w:r>
            <w:proofErr w:type="spellEnd"/>
            <w:r w:rsidRPr="008D4FC8">
              <w:rPr>
                <w:rFonts w:ascii="Calibri" w:eastAsia="Times New Roman" w:hAnsi="Calibri"/>
                <w:color w:val="000000"/>
                <w:sz w:val="16"/>
                <w:szCs w:val="16"/>
                <w:lang w:eastAsia="cs-CZ"/>
              </w:rPr>
              <w:t>) – podpora práce s logickými objekty (aplikace, uživatelé, URL adresy, lokality apod.). Každý firewall musí splňovat následující minimální požadavky</w:t>
            </w:r>
          </w:p>
        </w:tc>
        <w:tc>
          <w:tcPr>
            <w:tcW w:w="2835" w:type="dxa"/>
            <w:tcBorders>
              <w:top w:val="nil"/>
              <w:left w:val="nil"/>
              <w:bottom w:val="single" w:sz="4" w:space="0" w:color="auto"/>
              <w:right w:val="single" w:sz="4" w:space="0" w:color="auto"/>
            </w:tcBorders>
            <w:shd w:val="clear" w:color="auto" w:fill="auto"/>
            <w:vAlign w:val="center"/>
            <w:hideMark/>
          </w:tcPr>
          <w:p w14:paraId="336BFC0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50AF93E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5E94CC0" w14:textId="77777777" w:rsidTr="008D4FC8">
        <w:trPr>
          <w:trHeight w:val="22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74CA07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nil"/>
              <w:right w:val="single" w:sz="8" w:space="0" w:color="auto"/>
            </w:tcBorders>
            <w:shd w:val="clear" w:color="auto" w:fill="auto"/>
            <w:vAlign w:val="center"/>
            <w:hideMark/>
          </w:tcPr>
          <w:p w14:paraId="61B3DD80"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Provedení</w:t>
            </w:r>
          </w:p>
        </w:tc>
        <w:tc>
          <w:tcPr>
            <w:tcW w:w="5954" w:type="dxa"/>
            <w:tcBorders>
              <w:top w:val="single" w:sz="8" w:space="0" w:color="auto"/>
              <w:left w:val="nil"/>
              <w:bottom w:val="single" w:sz="4" w:space="0" w:color="auto"/>
              <w:right w:val="single" w:sz="4" w:space="0" w:color="auto"/>
            </w:tcBorders>
            <w:shd w:val="clear" w:color="auto" w:fill="auto"/>
            <w:noWrap/>
            <w:vAlign w:val="center"/>
            <w:hideMark/>
          </w:tcPr>
          <w:p w14:paraId="4C455828" w14:textId="2E2E96FD" w:rsidR="008D4FC8" w:rsidRPr="008D4FC8" w:rsidRDefault="00CE347D"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U</w:t>
            </w:r>
            <w:r w:rsidR="008D4FC8" w:rsidRPr="008D4FC8">
              <w:rPr>
                <w:rFonts w:ascii="Calibri" w:eastAsia="Times New Roman" w:hAnsi="Calibri"/>
                <w:color w:val="000000"/>
                <w:sz w:val="16"/>
                <w:szCs w:val="16"/>
                <w:lang w:eastAsia="cs-CZ"/>
              </w:rPr>
              <w:t>místitelné do racku</w:t>
            </w:r>
          </w:p>
        </w:tc>
        <w:tc>
          <w:tcPr>
            <w:tcW w:w="2835" w:type="dxa"/>
            <w:tcBorders>
              <w:top w:val="nil"/>
              <w:left w:val="nil"/>
              <w:bottom w:val="single" w:sz="4" w:space="0" w:color="auto"/>
              <w:right w:val="single" w:sz="4" w:space="0" w:color="auto"/>
            </w:tcBorders>
            <w:shd w:val="clear" w:color="auto" w:fill="auto"/>
            <w:vAlign w:val="center"/>
            <w:hideMark/>
          </w:tcPr>
          <w:p w14:paraId="1B53DC8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7B3F493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90E1037"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232466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single" w:sz="4" w:space="0" w:color="auto"/>
              <w:left w:val="single" w:sz="8" w:space="0" w:color="auto"/>
              <w:bottom w:val="nil"/>
              <w:right w:val="single" w:sz="8" w:space="0" w:color="auto"/>
            </w:tcBorders>
            <w:shd w:val="clear" w:color="auto" w:fill="auto"/>
            <w:vAlign w:val="center"/>
            <w:hideMark/>
          </w:tcPr>
          <w:p w14:paraId="7DC2CEE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HW parametry</w:t>
            </w:r>
          </w:p>
        </w:tc>
        <w:tc>
          <w:tcPr>
            <w:tcW w:w="5954" w:type="dxa"/>
            <w:tcBorders>
              <w:top w:val="nil"/>
              <w:left w:val="nil"/>
              <w:bottom w:val="single" w:sz="4" w:space="0" w:color="auto"/>
              <w:right w:val="single" w:sz="4" w:space="0" w:color="auto"/>
            </w:tcBorders>
            <w:shd w:val="clear" w:color="auto" w:fill="auto"/>
            <w:vAlign w:val="center"/>
            <w:hideMark/>
          </w:tcPr>
          <w:p w14:paraId="358861B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Počet síťových rozhraní LAN RJ45 1 </w:t>
            </w:r>
            <w:proofErr w:type="spellStart"/>
            <w:r w:rsidRPr="008D4FC8">
              <w:rPr>
                <w:rFonts w:ascii="Calibri" w:eastAsia="Times New Roman" w:hAnsi="Calibri"/>
                <w:color w:val="000000"/>
                <w:sz w:val="16"/>
                <w:szCs w:val="16"/>
                <w:lang w:eastAsia="cs-CZ"/>
              </w:rPr>
              <w:t>Gb</w:t>
            </w:r>
            <w:proofErr w:type="spellEnd"/>
            <w:r w:rsidRPr="008D4FC8">
              <w:rPr>
                <w:rFonts w:ascii="Calibri" w:eastAsia="Times New Roman" w:hAnsi="Calibri"/>
                <w:color w:val="000000"/>
                <w:sz w:val="16"/>
                <w:szCs w:val="16"/>
                <w:lang w:eastAsia="cs-CZ"/>
              </w:rPr>
              <w:t xml:space="preserve"> - min 40x</w:t>
            </w:r>
          </w:p>
        </w:tc>
        <w:tc>
          <w:tcPr>
            <w:tcW w:w="2835" w:type="dxa"/>
            <w:tcBorders>
              <w:top w:val="nil"/>
              <w:left w:val="nil"/>
              <w:bottom w:val="single" w:sz="4" w:space="0" w:color="auto"/>
              <w:right w:val="single" w:sz="4" w:space="0" w:color="auto"/>
            </w:tcBorders>
            <w:shd w:val="clear" w:color="auto" w:fill="auto"/>
            <w:vAlign w:val="center"/>
            <w:hideMark/>
          </w:tcPr>
          <w:p w14:paraId="4C187AD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622CBAF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56CD8A8"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B90F06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nil"/>
              <w:right w:val="single" w:sz="8" w:space="0" w:color="auto"/>
            </w:tcBorders>
            <w:vAlign w:val="center"/>
            <w:hideMark/>
          </w:tcPr>
          <w:p w14:paraId="6264C61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4F102C2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Počet síťových rozhraní LAN SFP 1 </w:t>
            </w:r>
            <w:proofErr w:type="spellStart"/>
            <w:r w:rsidRPr="008D4FC8">
              <w:rPr>
                <w:rFonts w:ascii="Calibri" w:eastAsia="Times New Roman" w:hAnsi="Calibri"/>
                <w:color w:val="000000"/>
                <w:sz w:val="16"/>
                <w:szCs w:val="16"/>
                <w:lang w:eastAsia="cs-CZ"/>
              </w:rPr>
              <w:t>Gb</w:t>
            </w:r>
            <w:proofErr w:type="spellEnd"/>
            <w:r w:rsidRPr="008D4FC8">
              <w:rPr>
                <w:rFonts w:ascii="Calibri" w:eastAsia="Times New Roman" w:hAnsi="Calibri"/>
                <w:color w:val="000000"/>
                <w:sz w:val="16"/>
                <w:szCs w:val="16"/>
                <w:lang w:eastAsia="cs-CZ"/>
              </w:rPr>
              <w:t xml:space="preserve"> - min 2x</w:t>
            </w:r>
          </w:p>
        </w:tc>
        <w:tc>
          <w:tcPr>
            <w:tcW w:w="2835" w:type="dxa"/>
            <w:tcBorders>
              <w:top w:val="nil"/>
              <w:left w:val="nil"/>
              <w:bottom w:val="single" w:sz="4" w:space="0" w:color="auto"/>
              <w:right w:val="single" w:sz="4" w:space="0" w:color="auto"/>
            </w:tcBorders>
            <w:shd w:val="clear" w:color="auto" w:fill="auto"/>
            <w:vAlign w:val="center"/>
            <w:hideMark/>
          </w:tcPr>
          <w:p w14:paraId="3A7BDA0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3C67CE9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4FC6265"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BC09D8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nil"/>
              <w:right w:val="single" w:sz="8" w:space="0" w:color="auto"/>
            </w:tcBorders>
            <w:vAlign w:val="center"/>
            <w:hideMark/>
          </w:tcPr>
          <w:p w14:paraId="5767ADCA"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F82FA5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Interní úložiště </w:t>
            </w:r>
            <w:proofErr w:type="spellStart"/>
            <w:r w:rsidRPr="008D4FC8">
              <w:rPr>
                <w:rFonts w:ascii="Calibri" w:eastAsia="Times New Roman" w:hAnsi="Calibri"/>
                <w:color w:val="000000"/>
                <w:sz w:val="16"/>
                <w:szCs w:val="16"/>
                <w:lang w:eastAsia="cs-CZ"/>
              </w:rPr>
              <w:t>flash</w:t>
            </w:r>
            <w:proofErr w:type="spellEnd"/>
            <w:r w:rsidRPr="008D4FC8">
              <w:rPr>
                <w:rFonts w:ascii="Calibri" w:eastAsia="Times New Roman" w:hAnsi="Calibri"/>
                <w:color w:val="000000"/>
                <w:sz w:val="16"/>
                <w:szCs w:val="16"/>
                <w:lang w:eastAsia="cs-CZ"/>
              </w:rPr>
              <w:t xml:space="preserve"> pro logy apod. min. 60 GB</w:t>
            </w:r>
          </w:p>
        </w:tc>
        <w:tc>
          <w:tcPr>
            <w:tcW w:w="2835" w:type="dxa"/>
            <w:tcBorders>
              <w:top w:val="nil"/>
              <w:left w:val="nil"/>
              <w:bottom w:val="single" w:sz="4" w:space="0" w:color="auto"/>
              <w:right w:val="single" w:sz="4" w:space="0" w:color="auto"/>
            </w:tcBorders>
            <w:shd w:val="clear" w:color="auto" w:fill="auto"/>
            <w:vAlign w:val="center"/>
            <w:hideMark/>
          </w:tcPr>
          <w:p w14:paraId="1EC9F0C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44261B9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4F727B6"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157729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nil"/>
              <w:right w:val="single" w:sz="8" w:space="0" w:color="auto"/>
            </w:tcBorders>
            <w:vAlign w:val="center"/>
            <w:hideMark/>
          </w:tcPr>
          <w:p w14:paraId="72D2EF27"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12D9A2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Počet rozhraní USB pro připojení </w:t>
            </w:r>
            <w:proofErr w:type="spellStart"/>
            <w:r w:rsidRPr="008D4FC8">
              <w:rPr>
                <w:rFonts w:ascii="Calibri" w:eastAsia="Times New Roman" w:hAnsi="Calibri"/>
                <w:color w:val="000000"/>
                <w:sz w:val="16"/>
                <w:szCs w:val="16"/>
                <w:lang w:eastAsia="cs-CZ"/>
              </w:rPr>
              <w:t>ext</w:t>
            </w:r>
            <w:proofErr w:type="spellEnd"/>
            <w:r w:rsidRPr="008D4FC8">
              <w:rPr>
                <w:rFonts w:ascii="Calibri" w:eastAsia="Times New Roman" w:hAnsi="Calibri"/>
                <w:color w:val="000000"/>
                <w:sz w:val="16"/>
                <w:szCs w:val="16"/>
                <w:lang w:eastAsia="cs-CZ"/>
              </w:rPr>
              <w:t>. modemu - min. 1x</w:t>
            </w:r>
          </w:p>
        </w:tc>
        <w:tc>
          <w:tcPr>
            <w:tcW w:w="2835" w:type="dxa"/>
            <w:tcBorders>
              <w:top w:val="nil"/>
              <w:left w:val="nil"/>
              <w:bottom w:val="single" w:sz="4" w:space="0" w:color="auto"/>
              <w:right w:val="single" w:sz="4" w:space="0" w:color="auto"/>
            </w:tcBorders>
            <w:shd w:val="clear" w:color="auto" w:fill="auto"/>
            <w:vAlign w:val="center"/>
            <w:hideMark/>
          </w:tcPr>
          <w:p w14:paraId="6D7F0B0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3DD5FA7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B667A62"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8BB419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single" w:sz="4" w:space="0" w:color="auto"/>
              <w:left w:val="single" w:sz="8" w:space="0" w:color="auto"/>
              <w:bottom w:val="nil"/>
              <w:right w:val="single" w:sz="8" w:space="0" w:color="auto"/>
            </w:tcBorders>
            <w:shd w:val="clear" w:color="auto" w:fill="auto"/>
            <w:vAlign w:val="center"/>
            <w:hideMark/>
          </w:tcPr>
          <w:p w14:paraId="32D01AD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Výkon</w:t>
            </w:r>
          </w:p>
        </w:tc>
        <w:tc>
          <w:tcPr>
            <w:tcW w:w="5954" w:type="dxa"/>
            <w:tcBorders>
              <w:top w:val="nil"/>
              <w:left w:val="nil"/>
              <w:bottom w:val="single" w:sz="4" w:space="0" w:color="auto"/>
              <w:right w:val="single" w:sz="4" w:space="0" w:color="auto"/>
            </w:tcBorders>
            <w:shd w:val="clear" w:color="auto" w:fill="auto"/>
            <w:vAlign w:val="center"/>
            <w:hideMark/>
          </w:tcPr>
          <w:p w14:paraId="74A293E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Propustnost firewallu min. 4 </w:t>
            </w:r>
            <w:proofErr w:type="spellStart"/>
            <w:r w:rsidRPr="008D4FC8">
              <w:rPr>
                <w:rFonts w:ascii="Calibri" w:eastAsia="Times New Roman" w:hAnsi="Calibri"/>
                <w:color w:val="000000"/>
                <w:sz w:val="16"/>
                <w:szCs w:val="16"/>
                <w:lang w:eastAsia="cs-CZ"/>
              </w:rPr>
              <w:t>Gb</w:t>
            </w:r>
            <w:proofErr w:type="spellEnd"/>
            <w:r w:rsidRPr="008D4FC8">
              <w:rPr>
                <w:rFonts w:ascii="Calibri" w:eastAsia="Times New Roman" w:hAnsi="Calibri"/>
                <w:color w:val="000000"/>
                <w:sz w:val="16"/>
                <w:szCs w:val="16"/>
                <w:lang w:eastAsia="cs-CZ"/>
              </w:rPr>
              <w:t>/s nezávisle na velikosti paketu</w:t>
            </w:r>
          </w:p>
        </w:tc>
        <w:tc>
          <w:tcPr>
            <w:tcW w:w="2835" w:type="dxa"/>
            <w:tcBorders>
              <w:top w:val="nil"/>
              <w:left w:val="nil"/>
              <w:bottom w:val="single" w:sz="4" w:space="0" w:color="auto"/>
              <w:right w:val="single" w:sz="4" w:space="0" w:color="auto"/>
            </w:tcBorders>
            <w:shd w:val="clear" w:color="auto" w:fill="auto"/>
            <w:vAlign w:val="center"/>
            <w:hideMark/>
          </w:tcPr>
          <w:p w14:paraId="1C10F10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50FBEAA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A4AF757"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57200C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nil"/>
              <w:right w:val="single" w:sz="8" w:space="0" w:color="auto"/>
            </w:tcBorders>
            <w:vAlign w:val="center"/>
            <w:hideMark/>
          </w:tcPr>
          <w:p w14:paraId="1193CF65"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E88230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Propustnost firewallu - min. 6 </w:t>
            </w:r>
            <w:proofErr w:type="spellStart"/>
            <w:r w:rsidRPr="008D4FC8">
              <w:rPr>
                <w:rFonts w:ascii="Calibri" w:eastAsia="Times New Roman" w:hAnsi="Calibri"/>
                <w:color w:val="000000"/>
                <w:sz w:val="16"/>
                <w:szCs w:val="16"/>
                <w:lang w:eastAsia="cs-CZ"/>
              </w:rPr>
              <w:t>Mpps</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pps</w:t>
            </w:r>
            <w:proofErr w:type="spellEnd"/>
            <w:r w:rsidRPr="008D4FC8">
              <w:rPr>
                <w:rFonts w:ascii="Calibri" w:eastAsia="Times New Roman" w:hAnsi="Calibri"/>
                <w:color w:val="000000"/>
                <w:sz w:val="16"/>
                <w:szCs w:val="16"/>
                <w:lang w:eastAsia="cs-CZ"/>
              </w:rPr>
              <w:t xml:space="preserve"> - paketů za sekundu)</w:t>
            </w:r>
          </w:p>
        </w:tc>
        <w:tc>
          <w:tcPr>
            <w:tcW w:w="2835" w:type="dxa"/>
            <w:tcBorders>
              <w:top w:val="nil"/>
              <w:left w:val="nil"/>
              <w:bottom w:val="single" w:sz="4" w:space="0" w:color="auto"/>
              <w:right w:val="single" w:sz="4" w:space="0" w:color="auto"/>
            </w:tcBorders>
            <w:shd w:val="clear" w:color="auto" w:fill="auto"/>
            <w:vAlign w:val="center"/>
            <w:hideMark/>
          </w:tcPr>
          <w:p w14:paraId="77B43BA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586232F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D7333A3"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8FF9FD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nil"/>
              <w:right w:val="single" w:sz="8" w:space="0" w:color="auto"/>
            </w:tcBorders>
            <w:vAlign w:val="center"/>
            <w:hideMark/>
          </w:tcPr>
          <w:p w14:paraId="41A4EAA1"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EC9FA4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Počet FW politik min. 1000</w:t>
            </w:r>
          </w:p>
        </w:tc>
        <w:tc>
          <w:tcPr>
            <w:tcW w:w="2835" w:type="dxa"/>
            <w:tcBorders>
              <w:top w:val="nil"/>
              <w:left w:val="nil"/>
              <w:bottom w:val="single" w:sz="4" w:space="0" w:color="auto"/>
              <w:right w:val="single" w:sz="4" w:space="0" w:color="auto"/>
            </w:tcBorders>
            <w:shd w:val="clear" w:color="auto" w:fill="auto"/>
            <w:vAlign w:val="center"/>
            <w:hideMark/>
          </w:tcPr>
          <w:p w14:paraId="559457A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36F483D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053EFAB"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790CE3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nil"/>
              <w:right w:val="single" w:sz="8" w:space="0" w:color="auto"/>
            </w:tcBorders>
            <w:vAlign w:val="center"/>
            <w:hideMark/>
          </w:tcPr>
          <w:p w14:paraId="7943807F"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DA57FA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Počet současných otevřených spojení - min 3 M</w:t>
            </w:r>
          </w:p>
        </w:tc>
        <w:tc>
          <w:tcPr>
            <w:tcW w:w="2835" w:type="dxa"/>
            <w:tcBorders>
              <w:top w:val="nil"/>
              <w:left w:val="nil"/>
              <w:bottom w:val="single" w:sz="4" w:space="0" w:color="auto"/>
              <w:right w:val="single" w:sz="4" w:space="0" w:color="auto"/>
            </w:tcBorders>
            <w:shd w:val="clear" w:color="auto" w:fill="auto"/>
            <w:vAlign w:val="center"/>
            <w:hideMark/>
          </w:tcPr>
          <w:p w14:paraId="411ED25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5678B8B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5A6CDCF"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F1E581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nil"/>
              <w:right w:val="single" w:sz="8" w:space="0" w:color="auto"/>
            </w:tcBorders>
            <w:vAlign w:val="center"/>
            <w:hideMark/>
          </w:tcPr>
          <w:p w14:paraId="2A2797C5"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4BF639B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Propustnost VPN - min. 1 </w:t>
            </w:r>
            <w:proofErr w:type="spellStart"/>
            <w:r w:rsidRPr="008D4FC8">
              <w:rPr>
                <w:rFonts w:ascii="Calibri" w:eastAsia="Times New Roman" w:hAnsi="Calibri"/>
                <w:color w:val="000000"/>
                <w:sz w:val="16"/>
                <w:szCs w:val="16"/>
                <w:lang w:eastAsia="cs-CZ"/>
              </w:rPr>
              <w:t>Gbps</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40119A9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7E65778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62AAC15"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B32435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nil"/>
              <w:right w:val="single" w:sz="8" w:space="0" w:color="auto"/>
            </w:tcBorders>
            <w:vAlign w:val="center"/>
            <w:hideMark/>
          </w:tcPr>
          <w:p w14:paraId="124EED00"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78E6E4E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Propustnost IPS - min 2 </w:t>
            </w:r>
            <w:proofErr w:type="spellStart"/>
            <w:r w:rsidRPr="008D4FC8">
              <w:rPr>
                <w:rFonts w:ascii="Calibri" w:eastAsia="Times New Roman" w:hAnsi="Calibri"/>
                <w:color w:val="000000"/>
                <w:sz w:val="16"/>
                <w:szCs w:val="16"/>
                <w:lang w:eastAsia="cs-CZ"/>
              </w:rPr>
              <w:t>Gbps</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4CE84BD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06B2030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F7DD699"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E18969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nil"/>
              <w:right w:val="single" w:sz="8" w:space="0" w:color="auto"/>
            </w:tcBorders>
            <w:vAlign w:val="center"/>
            <w:hideMark/>
          </w:tcPr>
          <w:p w14:paraId="70560D8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051B26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Propustnost antiviru - min. 1 </w:t>
            </w:r>
            <w:proofErr w:type="spellStart"/>
            <w:r w:rsidRPr="008D4FC8">
              <w:rPr>
                <w:rFonts w:ascii="Calibri" w:eastAsia="Times New Roman" w:hAnsi="Calibri"/>
                <w:color w:val="000000"/>
                <w:sz w:val="16"/>
                <w:szCs w:val="16"/>
                <w:lang w:eastAsia="cs-CZ"/>
              </w:rPr>
              <w:t>Gbps</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4935383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19BB3F7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46CC96D"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99E91C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single" w:sz="4" w:space="0" w:color="auto"/>
              <w:left w:val="single" w:sz="8" w:space="0" w:color="auto"/>
              <w:bottom w:val="single" w:sz="4" w:space="0" w:color="000000"/>
              <w:right w:val="single" w:sz="8" w:space="0" w:color="auto"/>
            </w:tcBorders>
            <w:shd w:val="clear" w:color="auto" w:fill="auto"/>
            <w:vAlign w:val="center"/>
            <w:hideMark/>
          </w:tcPr>
          <w:p w14:paraId="334B9C9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76C24AA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Režim vysoké dostupnosti - </w:t>
            </w:r>
            <w:proofErr w:type="spellStart"/>
            <w:r w:rsidRPr="008D4FC8">
              <w:rPr>
                <w:rFonts w:ascii="Calibri" w:eastAsia="Times New Roman" w:hAnsi="Calibri"/>
                <w:color w:val="000000"/>
                <w:sz w:val="16"/>
                <w:szCs w:val="16"/>
                <w:lang w:eastAsia="cs-CZ"/>
              </w:rPr>
              <w:t>Active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Active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Active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Passive</w:t>
            </w:r>
            <w:proofErr w:type="spellEnd"/>
            <w:r w:rsidRPr="008D4FC8">
              <w:rPr>
                <w:rFonts w:ascii="Calibri" w:eastAsia="Times New Roman" w:hAnsi="Calibri"/>
                <w:color w:val="000000"/>
                <w:sz w:val="16"/>
                <w:szCs w:val="16"/>
                <w:lang w:eastAsia="cs-CZ"/>
              </w:rPr>
              <w:t>, VRRP</w:t>
            </w:r>
          </w:p>
        </w:tc>
        <w:tc>
          <w:tcPr>
            <w:tcW w:w="2835" w:type="dxa"/>
            <w:tcBorders>
              <w:top w:val="nil"/>
              <w:left w:val="nil"/>
              <w:bottom w:val="single" w:sz="4" w:space="0" w:color="auto"/>
              <w:right w:val="single" w:sz="4" w:space="0" w:color="auto"/>
            </w:tcBorders>
            <w:shd w:val="clear" w:color="auto" w:fill="auto"/>
            <w:vAlign w:val="center"/>
            <w:hideMark/>
          </w:tcPr>
          <w:p w14:paraId="16B5E82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5B987FD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1EAB63C"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C78132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058437C9"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C5CC15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Režim fungování L2 – transparentní režim, L3 – NAT/</w:t>
            </w:r>
            <w:proofErr w:type="spellStart"/>
            <w:r w:rsidRPr="008D4FC8">
              <w:rPr>
                <w:rFonts w:ascii="Calibri" w:eastAsia="Times New Roman" w:hAnsi="Calibri"/>
                <w:color w:val="000000"/>
                <w:sz w:val="16"/>
                <w:szCs w:val="16"/>
                <w:lang w:eastAsia="cs-CZ"/>
              </w:rPr>
              <w:t>Router</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4D72A7C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429AA64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CC8EAD2"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45DE29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00CB20BD"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BB3B0A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Podpora </w:t>
            </w:r>
            <w:proofErr w:type="spellStart"/>
            <w:r w:rsidRPr="008D4FC8">
              <w:rPr>
                <w:rFonts w:ascii="Calibri" w:eastAsia="Times New Roman" w:hAnsi="Calibri"/>
                <w:color w:val="000000"/>
                <w:sz w:val="16"/>
                <w:szCs w:val="16"/>
                <w:lang w:eastAsia="cs-CZ"/>
              </w:rPr>
              <w:t>multicast</w:t>
            </w:r>
            <w:proofErr w:type="spellEnd"/>
            <w:r w:rsidRPr="008D4FC8">
              <w:rPr>
                <w:rFonts w:ascii="Calibri" w:eastAsia="Times New Roman" w:hAnsi="Calibri"/>
                <w:color w:val="000000"/>
                <w:sz w:val="16"/>
                <w:szCs w:val="16"/>
                <w:lang w:eastAsia="cs-CZ"/>
              </w:rPr>
              <w:t xml:space="preserve">, vytváření politiky pro </w:t>
            </w:r>
            <w:proofErr w:type="spellStart"/>
            <w:r w:rsidRPr="008D4FC8">
              <w:rPr>
                <w:rFonts w:ascii="Calibri" w:eastAsia="Times New Roman" w:hAnsi="Calibri"/>
                <w:color w:val="000000"/>
                <w:sz w:val="16"/>
                <w:szCs w:val="16"/>
                <w:lang w:eastAsia="cs-CZ"/>
              </w:rPr>
              <w:t>multicast</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routování</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078BCC4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1928C98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9A6A9B3"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2E54C2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41A72579"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44555A5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Podpora VPN: </w:t>
            </w:r>
            <w:proofErr w:type="spellStart"/>
            <w:r w:rsidRPr="008D4FC8">
              <w:rPr>
                <w:rFonts w:ascii="Calibri" w:eastAsia="Times New Roman" w:hAnsi="Calibri"/>
                <w:color w:val="000000"/>
                <w:sz w:val="16"/>
                <w:szCs w:val="16"/>
                <w:lang w:eastAsia="cs-CZ"/>
              </w:rPr>
              <w:t>IPSec</w:t>
            </w:r>
            <w:proofErr w:type="spellEnd"/>
            <w:r w:rsidRPr="008D4FC8">
              <w:rPr>
                <w:rFonts w:ascii="Calibri" w:eastAsia="Times New Roman" w:hAnsi="Calibri"/>
                <w:color w:val="000000"/>
                <w:sz w:val="16"/>
                <w:szCs w:val="16"/>
                <w:lang w:eastAsia="cs-CZ"/>
              </w:rPr>
              <w:t xml:space="preserve">, SSL (portálový režim, tunelový režim), IPSEC (IKE, </w:t>
            </w:r>
            <w:proofErr w:type="spellStart"/>
            <w:r w:rsidRPr="008D4FC8">
              <w:rPr>
                <w:rFonts w:ascii="Calibri" w:eastAsia="Times New Roman" w:hAnsi="Calibri"/>
                <w:color w:val="000000"/>
                <w:sz w:val="16"/>
                <w:szCs w:val="16"/>
                <w:lang w:eastAsia="cs-CZ"/>
              </w:rPr>
              <w:t>manual</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key</w:t>
            </w:r>
            <w:proofErr w:type="spellEnd"/>
            <w:r w:rsidRPr="008D4FC8">
              <w:rPr>
                <w:rFonts w:ascii="Calibri" w:eastAsia="Times New Roman" w:hAnsi="Calibri"/>
                <w:color w:val="000000"/>
                <w:sz w:val="16"/>
                <w:szCs w:val="16"/>
                <w:lang w:eastAsia="cs-CZ"/>
              </w:rPr>
              <w:t xml:space="preserve">, certifikát, </w:t>
            </w:r>
            <w:proofErr w:type="spellStart"/>
            <w:r w:rsidRPr="008D4FC8">
              <w:rPr>
                <w:rFonts w:ascii="Calibri" w:eastAsia="Times New Roman" w:hAnsi="Calibri"/>
                <w:color w:val="000000"/>
                <w:sz w:val="16"/>
                <w:szCs w:val="16"/>
                <w:lang w:eastAsia="cs-CZ"/>
              </w:rPr>
              <w:t>gateway</w:t>
            </w:r>
            <w:proofErr w:type="spellEnd"/>
            <w:r w:rsidRPr="008D4FC8">
              <w:rPr>
                <w:rFonts w:ascii="Calibri" w:eastAsia="Times New Roman" w:hAnsi="Calibri"/>
                <w:color w:val="000000"/>
                <w:sz w:val="16"/>
                <w:szCs w:val="16"/>
                <w:lang w:eastAsia="cs-CZ"/>
              </w:rPr>
              <w:t xml:space="preserve"> to </w:t>
            </w:r>
            <w:proofErr w:type="spellStart"/>
            <w:r w:rsidRPr="008D4FC8">
              <w:rPr>
                <w:rFonts w:ascii="Calibri" w:eastAsia="Times New Roman" w:hAnsi="Calibri"/>
                <w:color w:val="000000"/>
                <w:sz w:val="16"/>
                <w:szCs w:val="16"/>
                <w:lang w:eastAsia="cs-CZ"/>
              </w:rPr>
              <w:t>gateway</w:t>
            </w:r>
            <w:proofErr w:type="spellEnd"/>
            <w:r w:rsidRPr="008D4FC8">
              <w:rPr>
                <w:rFonts w:ascii="Calibri" w:eastAsia="Times New Roman" w:hAnsi="Calibri"/>
                <w:color w:val="000000"/>
                <w:sz w:val="16"/>
                <w:szCs w:val="16"/>
                <w:lang w:eastAsia="cs-CZ"/>
              </w:rPr>
              <w:t xml:space="preserve">, hub and </w:t>
            </w:r>
            <w:proofErr w:type="spellStart"/>
            <w:r w:rsidRPr="008D4FC8">
              <w:rPr>
                <w:rFonts w:ascii="Calibri" w:eastAsia="Times New Roman" w:hAnsi="Calibri"/>
                <w:color w:val="000000"/>
                <w:sz w:val="16"/>
                <w:szCs w:val="16"/>
                <w:lang w:eastAsia="cs-CZ"/>
              </w:rPr>
              <w:t>spoke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dial</w:t>
            </w:r>
            <w:proofErr w:type="spellEnd"/>
            <w:r w:rsidRPr="008D4FC8">
              <w:rPr>
                <w:rFonts w:ascii="Calibri" w:eastAsia="Times New Roman" w:hAnsi="Calibri"/>
                <w:color w:val="000000"/>
                <w:sz w:val="16"/>
                <w:szCs w:val="16"/>
                <w:lang w:eastAsia="cs-CZ"/>
              </w:rPr>
              <w:t xml:space="preserve"> up </w:t>
            </w:r>
            <w:proofErr w:type="spellStart"/>
            <w:r w:rsidRPr="008D4FC8">
              <w:rPr>
                <w:rFonts w:ascii="Calibri" w:eastAsia="Times New Roman" w:hAnsi="Calibri"/>
                <w:color w:val="000000"/>
                <w:sz w:val="16"/>
                <w:szCs w:val="16"/>
                <w:lang w:eastAsia="cs-CZ"/>
              </w:rPr>
              <w:t>konfiugrace</w:t>
            </w:r>
            <w:proofErr w:type="spellEnd"/>
            <w:r w:rsidRPr="008D4FC8">
              <w:rPr>
                <w:rFonts w:ascii="Calibri" w:eastAsia="Times New Roman" w:hAnsi="Calibri"/>
                <w:color w:val="000000"/>
                <w:sz w:val="16"/>
                <w:szCs w:val="16"/>
                <w:lang w:eastAsia="cs-CZ"/>
              </w:rPr>
              <w:t xml:space="preserve">, internet </w:t>
            </w:r>
            <w:proofErr w:type="spellStart"/>
            <w:r w:rsidRPr="008D4FC8">
              <w:rPr>
                <w:rFonts w:ascii="Calibri" w:eastAsia="Times New Roman" w:hAnsi="Calibri"/>
                <w:color w:val="000000"/>
                <w:sz w:val="16"/>
                <w:szCs w:val="16"/>
                <w:lang w:eastAsia="cs-CZ"/>
              </w:rPr>
              <w:t>browsing</w:t>
            </w:r>
            <w:proofErr w:type="spellEnd"/>
            <w:r w:rsidRPr="008D4FC8">
              <w:rPr>
                <w:rFonts w:ascii="Calibri" w:eastAsia="Times New Roman" w:hAnsi="Calibri"/>
                <w:color w:val="000000"/>
                <w:sz w:val="16"/>
                <w:szCs w:val="16"/>
                <w:lang w:eastAsia="cs-CZ"/>
              </w:rPr>
              <w:t xml:space="preserve"> konfigurace, podpora vice tunelů – redundantní VPN</w:t>
            </w:r>
          </w:p>
        </w:tc>
        <w:tc>
          <w:tcPr>
            <w:tcW w:w="2835" w:type="dxa"/>
            <w:tcBorders>
              <w:top w:val="nil"/>
              <w:left w:val="nil"/>
              <w:bottom w:val="single" w:sz="4" w:space="0" w:color="auto"/>
              <w:right w:val="single" w:sz="4" w:space="0" w:color="auto"/>
            </w:tcBorders>
            <w:shd w:val="clear" w:color="auto" w:fill="auto"/>
            <w:vAlign w:val="center"/>
            <w:hideMark/>
          </w:tcPr>
          <w:p w14:paraId="19787F9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3EC3D3F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79BEEB5"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9C9407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08BB32F5"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109EA20B" w14:textId="2806BF5A" w:rsidR="008D4FC8" w:rsidRPr="008D4FC8" w:rsidRDefault="00AD4233" w:rsidP="008D4FC8">
            <w:pPr>
              <w:spacing w:after="0"/>
              <w:jc w:val="left"/>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odpora IPv6</w:t>
            </w:r>
          </w:p>
        </w:tc>
        <w:tc>
          <w:tcPr>
            <w:tcW w:w="2835" w:type="dxa"/>
            <w:tcBorders>
              <w:top w:val="nil"/>
              <w:left w:val="nil"/>
              <w:bottom w:val="single" w:sz="4" w:space="0" w:color="auto"/>
              <w:right w:val="single" w:sz="4" w:space="0" w:color="auto"/>
            </w:tcBorders>
            <w:shd w:val="clear" w:color="auto" w:fill="auto"/>
            <w:vAlign w:val="center"/>
            <w:hideMark/>
          </w:tcPr>
          <w:p w14:paraId="30BB4CF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1C83CEA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EA66EC8"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42149E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0C1D0CF2"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51865437" w14:textId="4549F401" w:rsidR="008D4FC8" w:rsidRPr="008D4FC8" w:rsidRDefault="00AD4233" w:rsidP="008D4FC8">
            <w:pPr>
              <w:spacing w:after="0"/>
              <w:jc w:val="left"/>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odpora virtualizace (min. 10 virtuálních kontextů - firewallů)</w:t>
            </w:r>
          </w:p>
        </w:tc>
        <w:tc>
          <w:tcPr>
            <w:tcW w:w="2835" w:type="dxa"/>
            <w:tcBorders>
              <w:top w:val="nil"/>
              <w:left w:val="nil"/>
              <w:bottom w:val="single" w:sz="4" w:space="0" w:color="auto"/>
              <w:right w:val="single" w:sz="4" w:space="0" w:color="auto"/>
            </w:tcBorders>
            <w:shd w:val="clear" w:color="auto" w:fill="auto"/>
            <w:vAlign w:val="center"/>
            <w:hideMark/>
          </w:tcPr>
          <w:p w14:paraId="2959939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6C7F672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A6E57E8"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1F4E07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2A545880"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0D3F87A" w14:textId="66C06A8E" w:rsidR="008D4FC8" w:rsidRPr="008D4FC8" w:rsidRDefault="00AD4233" w:rsidP="008D4FC8">
            <w:pPr>
              <w:spacing w:after="0"/>
              <w:jc w:val="left"/>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 xml:space="preserve">odpora dynamických </w:t>
            </w:r>
            <w:proofErr w:type="spellStart"/>
            <w:r w:rsidR="008D4FC8" w:rsidRPr="008D4FC8">
              <w:rPr>
                <w:rFonts w:ascii="Calibri" w:eastAsia="Times New Roman" w:hAnsi="Calibri"/>
                <w:color w:val="000000"/>
                <w:sz w:val="16"/>
                <w:szCs w:val="16"/>
                <w:lang w:eastAsia="cs-CZ"/>
              </w:rPr>
              <w:t>routovací</w:t>
            </w:r>
            <w:proofErr w:type="spellEnd"/>
            <w:r w:rsidR="008D4FC8" w:rsidRPr="008D4FC8">
              <w:rPr>
                <w:rFonts w:ascii="Calibri" w:eastAsia="Times New Roman" w:hAnsi="Calibri"/>
                <w:color w:val="000000"/>
                <w:sz w:val="16"/>
                <w:szCs w:val="16"/>
                <w:lang w:eastAsia="cs-CZ"/>
              </w:rPr>
              <w:t xml:space="preserve"> protokolů - OSPF, PPTP, L2TP, GRE</w:t>
            </w:r>
          </w:p>
        </w:tc>
        <w:tc>
          <w:tcPr>
            <w:tcW w:w="2835" w:type="dxa"/>
            <w:tcBorders>
              <w:top w:val="nil"/>
              <w:left w:val="nil"/>
              <w:bottom w:val="single" w:sz="4" w:space="0" w:color="auto"/>
              <w:right w:val="single" w:sz="4" w:space="0" w:color="auto"/>
            </w:tcBorders>
            <w:shd w:val="clear" w:color="auto" w:fill="auto"/>
            <w:vAlign w:val="center"/>
            <w:hideMark/>
          </w:tcPr>
          <w:p w14:paraId="5EF01FD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3D0315F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B7AB4CE"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62F3B7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single" w:sz="8" w:space="0" w:color="auto"/>
              <w:bottom w:val="single" w:sz="4" w:space="0" w:color="000000"/>
              <w:right w:val="single" w:sz="8" w:space="0" w:color="auto"/>
            </w:tcBorders>
            <w:shd w:val="clear" w:color="auto" w:fill="auto"/>
            <w:vAlign w:val="center"/>
            <w:hideMark/>
          </w:tcPr>
          <w:p w14:paraId="4D0847E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Firewall</w:t>
            </w:r>
          </w:p>
        </w:tc>
        <w:tc>
          <w:tcPr>
            <w:tcW w:w="5954" w:type="dxa"/>
            <w:tcBorders>
              <w:top w:val="nil"/>
              <w:left w:val="nil"/>
              <w:bottom w:val="single" w:sz="4" w:space="0" w:color="auto"/>
              <w:right w:val="single" w:sz="4" w:space="0" w:color="auto"/>
            </w:tcBorders>
            <w:shd w:val="clear" w:color="auto" w:fill="auto"/>
            <w:vAlign w:val="center"/>
            <w:hideMark/>
          </w:tcPr>
          <w:p w14:paraId="51BC1BD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Možnost nastavovat firewall politiku na základě geografických údajů</w:t>
            </w:r>
          </w:p>
        </w:tc>
        <w:tc>
          <w:tcPr>
            <w:tcW w:w="2835" w:type="dxa"/>
            <w:tcBorders>
              <w:top w:val="nil"/>
              <w:left w:val="nil"/>
              <w:bottom w:val="single" w:sz="4" w:space="0" w:color="auto"/>
              <w:right w:val="single" w:sz="4" w:space="0" w:color="auto"/>
            </w:tcBorders>
            <w:shd w:val="clear" w:color="auto" w:fill="auto"/>
            <w:vAlign w:val="center"/>
            <w:hideMark/>
          </w:tcPr>
          <w:p w14:paraId="3884477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45B77E7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EE8DE73"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D77111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7BD65E90"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9F6ACA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Podpora Identity </w:t>
            </w:r>
            <w:proofErr w:type="spellStart"/>
            <w:r w:rsidRPr="008D4FC8">
              <w:rPr>
                <w:rFonts w:ascii="Calibri" w:eastAsia="Times New Roman" w:hAnsi="Calibri"/>
                <w:color w:val="000000"/>
                <w:sz w:val="16"/>
                <w:szCs w:val="16"/>
                <w:lang w:eastAsia="cs-CZ"/>
              </w:rPr>
              <w:t>based</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policy</w:t>
            </w:r>
            <w:proofErr w:type="spellEnd"/>
            <w:r w:rsidRPr="008D4FC8">
              <w:rPr>
                <w:rFonts w:ascii="Calibri" w:eastAsia="Times New Roman" w:hAnsi="Calibri"/>
                <w:color w:val="000000"/>
                <w:sz w:val="16"/>
                <w:szCs w:val="16"/>
                <w:lang w:eastAsia="cs-CZ"/>
              </w:rPr>
              <w:t xml:space="preserve"> – nastavení bezpečnosti uživateli na základě členství ve skupině na doménovém kontroléru </w:t>
            </w:r>
            <w:proofErr w:type="spellStart"/>
            <w:r w:rsidRPr="008D4FC8">
              <w:rPr>
                <w:rFonts w:ascii="Calibri" w:eastAsia="Times New Roman" w:hAnsi="Calibri"/>
                <w:color w:val="000000"/>
                <w:sz w:val="16"/>
                <w:szCs w:val="16"/>
                <w:lang w:eastAsia="cs-CZ"/>
              </w:rPr>
              <w:t>Active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Directory</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374A63B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3BDFAC7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BE4CEC5"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6AAAD9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2CD2E641"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1D82860" w14:textId="7EC4B9AD"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Funkce </w:t>
            </w:r>
            <w:proofErr w:type="spellStart"/>
            <w:r w:rsidRPr="008D4FC8">
              <w:rPr>
                <w:rFonts w:ascii="Calibri" w:eastAsia="Times New Roman" w:hAnsi="Calibri"/>
                <w:color w:val="000000"/>
                <w:sz w:val="16"/>
                <w:szCs w:val="16"/>
                <w:lang w:eastAsia="cs-CZ"/>
              </w:rPr>
              <w:t>Load</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Balancing</w:t>
            </w:r>
            <w:proofErr w:type="spellEnd"/>
            <w:r w:rsidRPr="008D4FC8">
              <w:rPr>
                <w:rFonts w:ascii="Calibri" w:eastAsia="Times New Roman" w:hAnsi="Calibri"/>
                <w:color w:val="000000"/>
                <w:sz w:val="16"/>
                <w:szCs w:val="16"/>
                <w:lang w:eastAsia="cs-CZ"/>
              </w:rPr>
              <w:t xml:space="preserve"> – možnost rozdělování zátěže směrující na virtuální IP na reálně servery, podpora </w:t>
            </w:r>
            <w:proofErr w:type="spellStart"/>
            <w:r w:rsidRPr="008D4FC8">
              <w:rPr>
                <w:rFonts w:ascii="Calibri" w:eastAsia="Times New Roman" w:hAnsi="Calibri"/>
                <w:color w:val="000000"/>
                <w:sz w:val="16"/>
                <w:szCs w:val="16"/>
                <w:lang w:eastAsia="cs-CZ"/>
              </w:rPr>
              <w:t>healt</w:t>
            </w:r>
            <w:r w:rsidR="00AD4233">
              <w:rPr>
                <w:rFonts w:ascii="Calibri" w:eastAsia="Times New Roman" w:hAnsi="Calibri"/>
                <w:color w:val="000000"/>
                <w:sz w:val="16"/>
                <w:szCs w:val="16"/>
                <w:lang w:eastAsia="cs-CZ"/>
              </w:rPr>
              <w:t>h</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check</w:t>
            </w:r>
            <w:proofErr w:type="spellEnd"/>
            <w:r w:rsidRPr="008D4FC8">
              <w:rPr>
                <w:rFonts w:ascii="Calibri" w:eastAsia="Times New Roman" w:hAnsi="Calibri"/>
                <w:color w:val="000000"/>
                <w:sz w:val="16"/>
                <w:szCs w:val="16"/>
                <w:lang w:eastAsia="cs-CZ"/>
              </w:rPr>
              <w:t xml:space="preserve"> funkcí, podpora SSL </w:t>
            </w:r>
            <w:proofErr w:type="spellStart"/>
            <w:r w:rsidRPr="008D4FC8">
              <w:rPr>
                <w:rFonts w:ascii="Calibri" w:eastAsia="Times New Roman" w:hAnsi="Calibri"/>
                <w:color w:val="000000"/>
                <w:sz w:val="16"/>
                <w:szCs w:val="16"/>
                <w:lang w:eastAsia="cs-CZ"/>
              </w:rPr>
              <w:t>offload</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4C91BFC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0E76BAB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59F5398"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3DD5DC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2E6402E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4DCFF65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Podpora centrální </w:t>
            </w:r>
            <w:proofErr w:type="spellStart"/>
            <w:r w:rsidRPr="008D4FC8">
              <w:rPr>
                <w:rFonts w:ascii="Calibri" w:eastAsia="Times New Roman" w:hAnsi="Calibri"/>
                <w:color w:val="000000"/>
                <w:sz w:val="16"/>
                <w:szCs w:val="16"/>
                <w:lang w:eastAsia="cs-CZ"/>
              </w:rPr>
              <w:t>NATovací</w:t>
            </w:r>
            <w:proofErr w:type="spellEnd"/>
            <w:r w:rsidRPr="008D4FC8">
              <w:rPr>
                <w:rFonts w:ascii="Calibri" w:eastAsia="Times New Roman" w:hAnsi="Calibri"/>
                <w:color w:val="000000"/>
                <w:sz w:val="16"/>
                <w:szCs w:val="16"/>
                <w:lang w:eastAsia="cs-CZ"/>
              </w:rPr>
              <w:t xml:space="preserve"> tabulky</w:t>
            </w:r>
          </w:p>
        </w:tc>
        <w:tc>
          <w:tcPr>
            <w:tcW w:w="2835" w:type="dxa"/>
            <w:tcBorders>
              <w:top w:val="nil"/>
              <w:left w:val="nil"/>
              <w:bottom w:val="single" w:sz="4" w:space="0" w:color="auto"/>
              <w:right w:val="single" w:sz="4" w:space="0" w:color="auto"/>
            </w:tcBorders>
            <w:shd w:val="clear" w:color="auto" w:fill="auto"/>
            <w:vAlign w:val="center"/>
            <w:hideMark/>
          </w:tcPr>
          <w:p w14:paraId="3E2A37B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74A7D4E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5B1AE63" w14:textId="77777777" w:rsidTr="008D4FC8">
        <w:trPr>
          <w:trHeight w:val="54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C56D88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single" w:sz="8" w:space="0" w:color="auto"/>
              <w:bottom w:val="single" w:sz="4" w:space="0" w:color="000000"/>
              <w:right w:val="single" w:sz="8" w:space="0" w:color="auto"/>
            </w:tcBorders>
            <w:shd w:val="clear" w:color="auto" w:fill="auto"/>
            <w:vAlign w:val="center"/>
            <w:hideMark/>
          </w:tcPr>
          <w:p w14:paraId="1ABE1CA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Filtrační funkce</w:t>
            </w:r>
          </w:p>
        </w:tc>
        <w:tc>
          <w:tcPr>
            <w:tcW w:w="5954" w:type="dxa"/>
            <w:tcBorders>
              <w:top w:val="nil"/>
              <w:left w:val="nil"/>
              <w:bottom w:val="single" w:sz="4" w:space="0" w:color="auto"/>
              <w:right w:val="single" w:sz="4" w:space="0" w:color="auto"/>
            </w:tcBorders>
            <w:shd w:val="clear" w:color="auto" w:fill="auto"/>
            <w:vAlign w:val="center"/>
            <w:hideMark/>
          </w:tcPr>
          <w:p w14:paraId="0A5EB39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Možnost výběru mezi </w:t>
            </w:r>
            <w:proofErr w:type="spellStart"/>
            <w:r w:rsidRPr="008D4FC8">
              <w:rPr>
                <w:rFonts w:ascii="Calibri" w:eastAsia="Times New Roman" w:hAnsi="Calibri"/>
                <w:color w:val="000000"/>
                <w:sz w:val="16"/>
                <w:szCs w:val="16"/>
                <w:lang w:eastAsia="cs-CZ"/>
              </w:rPr>
              <w:t>file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based</w:t>
            </w:r>
            <w:proofErr w:type="spellEnd"/>
            <w:r w:rsidRPr="008D4FC8">
              <w:rPr>
                <w:rFonts w:ascii="Calibri" w:eastAsia="Times New Roman" w:hAnsi="Calibri"/>
                <w:color w:val="000000"/>
                <w:sz w:val="16"/>
                <w:szCs w:val="16"/>
                <w:lang w:eastAsia="cs-CZ"/>
              </w:rPr>
              <w:t xml:space="preserve"> režimem (</w:t>
            </w:r>
            <w:proofErr w:type="spellStart"/>
            <w:r w:rsidRPr="008D4FC8">
              <w:rPr>
                <w:rFonts w:ascii="Calibri" w:eastAsia="Times New Roman" w:hAnsi="Calibri"/>
                <w:color w:val="000000"/>
                <w:sz w:val="16"/>
                <w:szCs w:val="16"/>
                <w:lang w:eastAsia="cs-CZ"/>
              </w:rPr>
              <w:t>buffer</w:t>
            </w:r>
            <w:proofErr w:type="spellEnd"/>
            <w:r w:rsidRPr="008D4FC8">
              <w:rPr>
                <w:rFonts w:ascii="Calibri" w:eastAsia="Times New Roman" w:hAnsi="Calibri"/>
                <w:color w:val="000000"/>
                <w:sz w:val="16"/>
                <w:szCs w:val="16"/>
                <w:lang w:eastAsia="cs-CZ"/>
              </w:rPr>
              <w:t xml:space="preserve">) nebo </w:t>
            </w:r>
            <w:proofErr w:type="spellStart"/>
            <w:r w:rsidRPr="008D4FC8">
              <w:rPr>
                <w:rFonts w:ascii="Calibri" w:eastAsia="Times New Roman" w:hAnsi="Calibri"/>
                <w:color w:val="000000"/>
                <w:sz w:val="16"/>
                <w:szCs w:val="16"/>
                <w:lang w:eastAsia="cs-CZ"/>
              </w:rPr>
              <w:t>flow</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based</w:t>
            </w:r>
            <w:proofErr w:type="spellEnd"/>
            <w:r w:rsidRPr="008D4FC8">
              <w:rPr>
                <w:rFonts w:ascii="Calibri" w:eastAsia="Times New Roman" w:hAnsi="Calibri"/>
                <w:color w:val="000000"/>
                <w:sz w:val="16"/>
                <w:szCs w:val="16"/>
                <w:lang w:eastAsia="cs-CZ"/>
              </w:rPr>
              <w:t xml:space="preserve"> (inspekce on-</w:t>
            </w:r>
            <w:proofErr w:type="spellStart"/>
            <w:r w:rsidRPr="008D4FC8">
              <w:rPr>
                <w:rFonts w:ascii="Calibri" w:eastAsia="Times New Roman" w:hAnsi="Calibri"/>
                <w:color w:val="000000"/>
                <w:sz w:val="16"/>
                <w:szCs w:val="16"/>
                <w:lang w:eastAsia="cs-CZ"/>
              </w:rPr>
              <w:t>the</w:t>
            </w:r>
            <w:proofErr w:type="spellEnd"/>
            <w:r w:rsidRPr="008D4FC8">
              <w:rPr>
                <w:rFonts w:ascii="Calibri" w:eastAsia="Times New Roman" w:hAnsi="Calibri"/>
                <w:color w:val="000000"/>
                <w:sz w:val="16"/>
                <w:szCs w:val="16"/>
                <w:lang w:eastAsia="cs-CZ"/>
              </w:rPr>
              <w:t>-</w:t>
            </w:r>
            <w:proofErr w:type="spellStart"/>
            <w:r w:rsidRPr="008D4FC8">
              <w:rPr>
                <w:rFonts w:ascii="Calibri" w:eastAsia="Times New Roman" w:hAnsi="Calibri"/>
                <w:color w:val="000000"/>
                <w:sz w:val="16"/>
                <w:szCs w:val="16"/>
                <w:lang w:eastAsia="cs-CZ"/>
              </w:rPr>
              <w:t>fly</w:t>
            </w:r>
            <w:proofErr w:type="spellEnd"/>
            <w:r w:rsidRPr="008D4FC8">
              <w:rPr>
                <w:rFonts w:ascii="Calibri" w:eastAsia="Times New Roman" w:hAnsi="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vAlign w:val="center"/>
            <w:hideMark/>
          </w:tcPr>
          <w:p w14:paraId="6E1CC88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6144C11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A498C79"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C7BC39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230A3C9D"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5AC4099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Antivirus pro vybrané protokoly, možnost volby různých databází, podpora archivace škodlivého obsahu, podpora protokolu ICAP pro </w:t>
            </w:r>
            <w:proofErr w:type="spellStart"/>
            <w:r w:rsidRPr="008D4FC8">
              <w:rPr>
                <w:rFonts w:ascii="Calibri" w:eastAsia="Times New Roman" w:hAnsi="Calibri"/>
                <w:color w:val="000000"/>
                <w:sz w:val="16"/>
                <w:szCs w:val="16"/>
                <w:lang w:eastAsia="cs-CZ"/>
              </w:rPr>
              <w:t>offload</w:t>
            </w:r>
            <w:proofErr w:type="spellEnd"/>
            <w:r w:rsidRPr="008D4FC8">
              <w:rPr>
                <w:rFonts w:ascii="Calibri" w:eastAsia="Times New Roman" w:hAnsi="Calibri"/>
                <w:color w:val="000000"/>
                <w:sz w:val="16"/>
                <w:szCs w:val="16"/>
                <w:lang w:eastAsia="cs-CZ"/>
              </w:rPr>
              <w:t xml:space="preserve"> AV </w:t>
            </w:r>
            <w:proofErr w:type="spellStart"/>
            <w:r w:rsidRPr="008D4FC8">
              <w:rPr>
                <w:rFonts w:ascii="Calibri" w:eastAsia="Times New Roman" w:hAnsi="Calibri"/>
                <w:color w:val="000000"/>
                <w:sz w:val="16"/>
                <w:szCs w:val="16"/>
                <w:lang w:eastAsia="cs-CZ"/>
              </w:rPr>
              <w:t>engine</w:t>
            </w:r>
            <w:proofErr w:type="spellEnd"/>
            <w:r w:rsidRPr="008D4FC8">
              <w:rPr>
                <w:rFonts w:ascii="Calibri" w:eastAsia="Times New Roman" w:hAnsi="Calibri"/>
                <w:color w:val="000000"/>
                <w:sz w:val="16"/>
                <w:szCs w:val="16"/>
                <w:lang w:eastAsia="cs-CZ"/>
              </w:rPr>
              <w:t xml:space="preserve">, možnost detekce tzv. </w:t>
            </w:r>
            <w:proofErr w:type="spellStart"/>
            <w:r w:rsidRPr="008D4FC8">
              <w:rPr>
                <w:rFonts w:ascii="Calibri" w:eastAsia="Times New Roman" w:hAnsi="Calibri"/>
                <w:color w:val="000000"/>
                <w:sz w:val="16"/>
                <w:szCs w:val="16"/>
                <w:lang w:eastAsia="cs-CZ"/>
              </w:rPr>
              <w:t>Grayware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rootkit</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malware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spywave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keylogger</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atd</w:t>
            </w:r>
            <w:proofErr w:type="spellEnd"/>
            <w:r w:rsidRPr="008D4FC8">
              <w:rPr>
                <w:rFonts w:ascii="Calibri" w:eastAsia="Times New Roman" w:hAnsi="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vAlign w:val="center"/>
            <w:hideMark/>
          </w:tcPr>
          <w:p w14:paraId="2DB07BF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6690563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5390691"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29ED2C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2208E773"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4AA3E16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Email </w:t>
            </w:r>
            <w:proofErr w:type="spellStart"/>
            <w:r w:rsidRPr="008D4FC8">
              <w:rPr>
                <w:rFonts w:ascii="Calibri" w:eastAsia="Times New Roman" w:hAnsi="Calibri"/>
                <w:color w:val="000000"/>
                <w:sz w:val="16"/>
                <w:szCs w:val="16"/>
                <w:lang w:eastAsia="cs-CZ"/>
              </w:rPr>
              <w:t>filter</w:t>
            </w:r>
            <w:proofErr w:type="spellEnd"/>
            <w:r w:rsidRPr="008D4FC8">
              <w:rPr>
                <w:rFonts w:ascii="Calibri" w:eastAsia="Times New Roman" w:hAnsi="Calibri"/>
                <w:color w:val="000000"/>
                <w:sz w:val="16"/>
                <w:szCs w:val="16"/>
                <w:lang w:eastAsia="cs-CZ"/>
              </w:rPr>
              <w:t xml:space="preserve"> – antispamová a antivirová inspekce elektronické pošty</w:t>
            </w:r>
          </w:p>
        </w:tc>
        <w:tc>
          <w:tcPr>
            <w:tcW w:w="2835" w:type="dxa"/>
            <w:tcBorders>
              <w:top w:val="nil"/>
              <w:left w:val="nil"/>
              <w:bottom w:val="single" w:sz="4" w:space="0" w:color="auto"/>
              <w:right w:val="single" w:sz="4" w:space="0" w:color="auto"/>
            </w:tcBorders>
            <w:shd w:val="clear" w:color="auto" w:fill="auto"/>
            <w:vAlign w:val="center"/>
            <w:hideMark/>
          </w:tcPr>
          <w:p w14:paraId="0C09EC0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73AFAAD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94CE336"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7BDBF3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755D9950"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2CF8754"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Intrusion</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Protection</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System</w:t>
            </w:r>
            <w:proofErr w:type="spellEnd"/>
            <w:r w:rsidRPr="008D4FC8">
              <w:rPr>
                <w:rFonts w:ascii="Calibri" w:eastAsia="Times New Roman" w:hAnsi="Calibri"/>
                <w:color w:val="000000"/>
                <w:sz w:val="16"/>
                <w:szCs w:val="16"/>
                <w:lang w:eastAsia="cs-CZ"/>
              </w:rPr>
              <w:t xml:space="preserve"> – detekce útoků založena na </w:t>
            </w:r>
            <w:proofErr w:type="spellStart"/>
            <w:r w:rsidRPr="008D4FC8">
              <w:rPr>
                <w:rFonts w:ascii="Calibri" w:eastAsia="Times New Roman" w:hAnsi="Calibri"/>
                <w:color w:val="000000"/>
                <w:sz w:val="16"/>
                <w:szCs w:val="16"/>
                <w:lang w:eastAsia="cs-CZ"/>
              </w:rPr>
              <w:t>signaturové</w:t>
            </w:r>
            <w:proofErr w:type="spellEnd"/>
            <w:r w:rsidRPr="008D4FC8">
              <w:rPr>
                <w:rFonts w:ascii="Calibri" w:eastAsia="Times New Roman" w:hAnsi="Calibri"/>
                <w:color w:val="000000"/>
                <w:sz w:val="16"/>
                <w:szCs w:val="16"/>
                <w:lang w:eastAsia="cs-CZ"/>
              </w:rPr>
              <w:t xml:space="preserve"> části a na anomálním filtru, možnost vytvářet vlastní signatury.</w:t>
            </w:r>
          </w:p>
        </w:tc>
        <w:tc>
          <w:tcPr>
            <w:tcW w:w="2835" w:type="dxa"/>
            <w:tcBorders>
              <w:top w:val="nil"/>
              <w:left w:val="nil"/>
              <w:bottom w:val="single" w:sz="4" w:space="0" w:color="auto"/>
              <w:right w:val="single" w:sz="4" w:space="0" w:color="auto"/>
            </w:tcBorders>
            <w:shd w:val="clear" w:color="auto" w:fill="auto"/>
            <w:vAlign w:val="center"/>
            <w:hideMark/>
          </w:tcPr>
          <w:p w14:paraId="0E875F5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7A61141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CD63631"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5B5909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7179DCEE"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B1D870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Web </w:t>
            </w:r>
            <w:proofErr w:type="spellStart"/>
            <w:r w:rsidRPr="008D4FC8">
              <w:rPr>
                <w:rFonts w:ascii="Calibri" w:eastAsia="Times New Roman" w:hAnsi="Calibri"/>
                <w:color w:val="000000"/>
                <w:sz w:val="16"/>
                <w:szCs w:val="16"/>
                <w:lang w:eastAsia="cs-CZ"/>
              </w:rPr>
              <w:t>Filter</w:t>
            </w:r>
            <w:proofErr w:type="spellEnd"/>
            <w:r w:rsidRPr="008D4FC8">
              <w:rPr>
                <w:rFonts w:ascii="Calibri" w:eastAsia="Times New Roman" w:hAnsi="Calibri"/>
                <w:color w:val="000000"/>
                <w:sz w:val="16"/>
                <w:szCs w:val="16"/>
                <w:lang w:eastAsia="cs-CZ"/>
              </w:rPr>
              <w:t xml:space="preserve"> – založená na kategorizaci webového obsahu, možnost monitorování navštívených kategorii na uživatele či skupinu, možnost kvóty – uživatel může navštěvovat určitou kategorii jen po určitou dobu během dne</w:t>
            </w:r>
          </w:p>
        </w:tc>
        <w:tc>
          <w:tcPr>
            <w:tcW w:w="2835" w:type="dxa"/>
            <w:tcBorders>
              <w:top w:val="nil"/>
              <w:left w:val="nil"/>
              <w:bottom w:val="single" w:sz="4" w:space="0" w:color="auto"/>
              <w:right w:val="single" w:sz="4" w:space="0" w:color="auto"/>
            </w:tcBorders>
            <w:shd w:val="clear" w:color="auto" w:fill="auto"/>
            <w:vAlign w:val="center"/>
            <w:hideMark/>
          </w:tcPr>
          <w:p w14:paraId="66D1049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7BAAA70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5F7E4A8"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0E9EBD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490867A0"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27C2F87"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Application</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Control</w:t>
            </w:r>
            <w:proofErr w:type="spellEnd"/>
            <w:r w:rsidRPr="008D4FC8">
              <w:rPr>
                <w:rFonts w:ascii="Calibri" w:eastAsia="Times New Roman" w:hAnsi="Calibri"/>
                <w:color w:val="000000"/>
                <w:sz w:val="16"/>
                <w:szCs w:val="16"/>
                <w:lang w:eastAsia="cs-CZ"/>
              </w:rPr>
              <w:t xml:space="preserve"> – detekce, monitoring, povolení či zakázání vice než 2000 síťových aplikací na základě signatury dané aplikace, nikoliv dle portu</w:t>
            </w:r>
          </w:p>
        </w:tc>
        <w:tc>
          <w:tcPr>
            <w:tcW w:w="2835" w:type="dxa"/>
            <w:tcBorders>
              <w:top w:val="nil"/>
              <w:left w:val="nil"/>
              <w:bottom w:val="single" w:sz="4" w:space="0" w:color="auto"/>
              <w:right w:val="single" w:sz="4" w:space="0" w:color="auto"/>
            </w:tcBorders>
            <w:shd w:val="clear" w:color="auto" w:fill="auto"/>
            <w:vAlign w:val="center"/>
            <w:hideMark/>
          </w:tcPr>
          <w:p w14:paraId="5138360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747E225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CF6B73C"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20BC97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093D8CB1"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194B1255" w14:textId="4F969094" w:rsidR="008D4FC8" w:rsidRPr="008D4FC8" w:rsidRDefault="008D4FC8" w:rsidP="00134EBC">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Kontrola komunikace v SSL šifrovaných protokolech (HTTPS, IMAPS, POP3S)</w:t>
            </w:r>
          </w:p>
        </w:tc>
        <w:tc>
          <w:tcPr>
            <w:tcW w:w="2835" w:type="dxa"/>
            <w:tcBorders>
              <w:top w:val="nil"/>
              <w:left w:val="nil"/>
              <w:bottom w:val="single" w:sz="4" w:space="0" w:color="auto"/>
              <w:right w:val="single" w:sz="4" w:space="0" w:color="auto"/>
            </w:tcBorders>
            <w:shd w:val="clear" w:color="auto" w:fill="auto"/>
            <w:vAlign w:val="center"/>
            <w:hideMark/>
          </w:tcPr>
          <w:p w14:paraId="700B0AE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72AE8A2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27F640A"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FE0542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2C08864D"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5E150BAB"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DoS</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Policy</w:t>
            </w:r>
            <w:proofErr w:type="spellEnd"/>
            <w:r w:rsidRPr="008D4FC8">
              <w:rPr>
                <w:rFonts w:ascii="Calibri" w:eastAsia="Times New Roman" w:hAnsi="Calibri"/>
                <w:color w:val="000000"/>
                <w:sz w:val="16"/>
                <w:szCs w:val="16"/>
                <w:lang w:eastAsia="cs-CZ"/>
              </w:rPr>
              <w:t xml:space="preserve"> prevence proti základním útokům typu </w:t>
            </w:r>
            <w:proofErr w:type="spellStart"/>
            <w:r w:rsidRPr="008D4FC8">
              <w:rPr>
                <w:rFonts w:ascii="Calibri" w:eastAsia="Times New Roman" w:hAnsi="Calibri"/>
                <w:color w:val="000000"/>
                <w:sz w:val="16"/>
                <w:szCs w:val="16"/>
                <w:lang w:eastAsia="cs-CZ"/>
              </w:rPr>
              <w:t>DoS</w:t>
            </w:r>
            <w:proofErr w:type="spellEnd"/>
            <w:r w:rsidRPr="008D4FC8">
              <w:rPr>
                <w:rFonts w:ascii="Calibri" w:eastAsia="Times New Roman" w:hAnsi="Calibri"/>
                <w:color w:val="000000"/>
                <w:sz w:val="16"/>
                <w:szCs w:val="16"/>
                <w:lang w:eastAsia="cs-CZ"/>
              </w:rPr>
              <w:t xml:space="preserve">, syn </w:t>
            </w:r>
            <w:proofErr w:type="spellStart"/>
            <w:r w:rsidRPr="008D4FC8">
              <w:rPr>
                <w:rFonts w:ascii="Calibri" w:eastAsia="Times New Roman" w:hAnsi="Calibri"/>
                <w:color w:val="000000"/>
                <w:sz w:val="16"/>
                <w:szCs w:val="16"/>
                <w:lang w:eastAsia="cs-CZ"/>
              </w:rPr>
              <w:t>proxy</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686D74D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4A282E2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C5486B6"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C2D8D4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single" w:sz="8" w:space="0" w:color="auto"/>
              <w:bottom w:val="single" w:sz="4" w:space="0" w:color="000000"/>
              <w:right w:val="single" w:sz="8" w:space="0" w:color="auto"/>
            </w:tcBorders>
            <w:shd w:val="clear" w:color="auto" w:fill="auto"/>
            <w:vAlign w:val="center"/>
            <w:hideMark/>
          </w:tcPr>
          <w:p w14:paraId="2A90C43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Ověřování uživatelů</w:t>
            </w:r>
          </w:p>
        </w:tc>
        <w:tc>
          <w:tcPr>
            <w:tcW w:w="5954" w:type="dxa"/>
            <w:tcBorders>
              <w:top w:val="nil"/>
              <w:left w:val="nil"/>
              <w:bottom w:val="single" w:sz="4" w:space="0" w:color="auto"/>
              <w:right w:val="single" w:sz="4" w:space="0" w:color="auto"/>
            </w:tcBorders>
            <w:shd w:val="clear" w:color="auto" w:fill="auto"/>
            <w:vAlign w:val="center"/>
            <w:hideMark/>
          </w:tcPr>
          <w:p w14:paraId="0EC54FF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LDAP, </w:t>
            </w:r>
            <w:proofErr w:type="spellStart"/>
            <w:r w:rsidRPr="008D4FC8">
              <w:rPr>
                <w:rFonts w:ascii="Calibri" w:eastAsia="Times New Roman" w:hAnsi="Calibri"/>
                <w:color w:val="000000"/>
                <w:sz w:val="16"/>
                <w:szCs w:val="16"/>
                <w:lang w:eastAsia="cs-CZ"/>
              </w:rPr>
              <w:t>Active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Directory</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Radius</w:t>
            </w:r>
            <w:proofErr w:type="spellEnd"/>
            <w:r w:rsidRPr="008D4FC8">
              <w:rPr>
                <w:rFonts w:ascii="Calibri" w:eastAsia="Times New Roman" w:hAnsi="Calibri"/>
                <w:color w:val="000000"/>
                <w:sz w:val="16"/>
                <w:szCs w:val="16"/>
                <w:lang w:eastAsia="cs-CZ"/>
              </w:rPr>
              <w:t xml:space="preserve">, TACACS+, Ověřování na základě certifikátu, </w:t>
            </w:r>
          </w:p>
        </w:tc>
        <w:tc>
          <w:tcPr>
            <w:tcW w:w="2835" w:type="dxa"/>
            <w:tcBorders>
              <w:top w:val="nil"/>
              <w:left w:val="nil"/>
              <w:bottom w:val="single" w:sz="4" w:space="0" w:color="auto"/>
              <w:right w:val="single" w:sz="4" w:space="0" w:color="auto"/>
            </w:tcBorders>
            <w:shd w:val="clear" w:color="auto" w:fill="auto"/>
            <w:vAlign w:val="center"/>
            <w:hideMark/>
          </w:tcPr>
          <w:p w14:paraId="4299C7F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2098432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5CDA6BC"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1C0A44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766BC994"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021280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Podpora silné autentizace uživatelů – integrovaná podpora generátoru jednorázových hesel (OTP) – Token pro </w:t>
            </w:r>
            <w:proofErr w:type="spellStart"/>
            <w:r w:rsidRPr="008D4FC8">
              <w:rPr>
                <w:rFonts w:ascii="Calibri" w:eastAsia="Times New Roman" w:hAnsi="Calibri"/>
                <w:color w:val="000000"/>
                <w:sz w:val="16"/>
                <w:szCs w:val="16"/>
                <w:lang w:eastAsia="cs-CZ"/>
              </w:rPr>
              <w:t>dvoufaktorovou</w:t>
            </w:r>
            <w:proofErr w:type="spellEnd"/>
            <w:r w:rsidRPr="008D4FC8">
              <w:rPr>
                <w:rFonts w:ascii="Calibri" w:eastAsia="Times New Roman" w:hAnsi="Calibri"/>
                <w:color w:val="000000"/>
                <w:sz w:val="16"/>
                <w:szCs w:val="16"/>
                <w:lang w:eastAsia="cs-CZ"/>
              </w:rPr>
              <w:t xml:space="preserve"> autentizaci, podpora certifikátů pro ověření uživatelů</w:t>
            </w:r>
          </w:p>
        </w:tc>
        <w:tc>
          <w:tcPr>
            <w:tcW w:w="2835" w:type="dxa"/>
            <w:tcBorders>
              <w:top w:val="nil"/>
              <w:left w:val="nil"/>
              <w:bottom w:val="single" w:sz="4" w:space="0" w:color="auto"/>
              <w:right w:val="single" w:sz="4" w:space="0" w:color="auto"/>
            </w:tcBorders>
            <w:shd w:val="clear" w:color="auto" w:fill="auto"/>
            <w:vAlign w:val="center"/>
            <w:hideMark/>
          </w:tcPr>
          <w:p w14:paraId="330978B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0D69256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C44A007"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D822F8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5664F3A0"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79E32ED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Dynamické profily – možnost přiřadit konkrétní profil uživateli na základě jeho ověření.</w:t>
            </w:r>
          </w:p>
        </w:tc>
        <w:tc>
          <w:tcPr>
            <w:tcW w:w="2835" w:type="dxa"/>
            <w:tcBorders>
              <w:top w:val="nil"/>
              <w:left w:val="nil"/>
              <w:bottom w:val="single" w:sz="4" w:space="0" w:color="auto"/>
              <w:right w:val="single" w:sz="4" w:space="0" w:color="auto"/>
            </w:tcBorders>
            <w:shd w:val="clear" w:color="auto" w:fill="auto"/>
            <w:vAlign w:val="center"/>
            <w:hideMark/>
          </w:tcPr>
          <w:p w14:paraId="1B88052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4C39B0E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2BEE83B"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FBC0E0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single" w:sz="8" w:space="0" w:color="auto"/>
              <w:bottom w:val="single" w:sz="4" w:space="0" w:color="000000"/>
              <w:right w:val="single" w:sz="8" w:space="0" w:color="auto"/>
            </w:tcBorders>
            <w:shd w:val="clear" w:color="auto" w:fill="auto"/>
            <w:vAlign w:val="center"/>
            <w:hideMark/>
          </w:tcPr>
          <w:p w14:paraId="7C72E21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Dynamické </w:t>
            </w:r>
            <w:proofErr w:type="spellStart"/>
            <w:r w:rsidRPr="008D4FC8">
              <w:rPr>
                <w:rFonts w:ascii="Calibri" w:eastAsia="Times New Roman" w:hAnsi="Calibri"/>
                <w:color w:val="000000"/>
                <w:sz w:val="16"/>
                <w:szCs w:val="16"/>
                <w:lang w:eastAsia="cs-CZ"/>
              </w:rPr>
              <w:t>routování</w:t>
            </w:r>
            <w:proofErr w:type="spellEnd"/>
          </w:p>
        </w:tc>
        <w:tc>
          <w:tcPr>
            <w:tcW w:w="5954" w:type="dxa"/>
            <w:tcBorders>
              <w:top w:val="nil"/>
              <w:left w:val="nil"/>
              <w:bottom w:val="single" w:sz="4" w:space="0" w:color="auto"/>
              <w:right w:val="single" w:sz="4" w:space="0" w:color="auto"/>
            </w:tcBorders>
            <w:shd w:val="clear" w:color="auto" w:fill="auto"/>
            <w:vAlign w:val="center"/>
            <w:hideMark/>
          </w:tcPr>
          <w:p w14:paraId="5E581AA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RIP, BGP, OSPF, IS-IS</w:t>
            </w:r>
          </w:p>
        </w:tc>
        <w:tc>
          <w:tcPr>
            <w:tcW w:w="2835" w:type="dxa"/>
            <w:tcBorders>
              <w:top w:val="nil"/>
              <w:left w:val="nil"/>
              <w:bottom w:val="single" w:sz="4" w:space="0" w:color="auto"/>
              <w:right w:val="single" w:sz="4" w:space="0" w:color="auto"/>
            </w:tcBorders>
            <w:shd w:val="clear" w:color="auto" w:fill="auto"/>
            <w:vAlign w:val="center"/>
            <w:hideMark/>
          </w:tcPr>
          <w:p w14:paraId="7503E04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30BFA23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4AD3222"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0DFE78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18C182C1"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52C1EABF"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Policy</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routing</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745789E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5D52986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37BA495"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3691B3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3245F728"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41277BC5"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Traffic</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Shaping</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QoS</w:t>
            </w:r>
            <w:proofErr w:type="spellEnd"/>
            <w:r w:rsidRPr="008D4FC8">
              <w:rPr>
                <w:rFonts w:ascii="Calibri" w:eastAsia="Times New Roman" w:hAnsi="Calibri"/>
                <w:color w:val="000000"/>
                <w:sz w:val="16"/>
                <w:szCs w:val="16"/>
                <w:lang w:eastAsia="cs-CZ"/>
              </w:rPr>
              <w:t xml:space="preserve"> s podporou DSCP markování a </w:t>
            </w:r>
            <w:proofErr w:type="spellStart"/>
            <w:r w:rsidRPr="008D4FC8">
              <w:rPr>
                <w:rFonts w:ascii="Calibri" w:eastAsia="Times New Roman" w:hAnsi="Calibri"/>
                <w:color w:val="000000"/>
                <w:sz w:val="16"/>
                <w:szCs w:val="16"/>
                <w:lang w:eastAsia="cs-CZ"/>
              </w:rPr>
              <w:t>ToS</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22C3FDE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53F119E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E5F032B"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965D70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72F6D46C"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2402BD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Podpora </w:t>
            </w:r>
            <w:proofErr w:type="spellStart"/>
            <w:r w:rsidRPr="008D4FC8">
              <w:rPr>
                <w:rFonts w:ascii="Calibri" w:eastAsia="Times New Roman" w:hAnsi="Calibri"/>
                <w:color w:val="000000"/>
                <w:sz w:val="16"/>
                <w:szCs w:val="16"/>
                <w:lang w:eastAsia="cs-CZ"/>
              </w:rPr>
              <w:t>VoIP</w:t>
            </w:r>
            <w:proofErr w:type="spellEnd"/>
            <w:r w:rsidRPr="008D4FC8">
              <w:rPr>
                <w:rFonts w:ascii="Calibri" w:eastAsia="Times New Roman" w:hAnsi="Calibri"/>
                <w:color w:val="000000"/>
                <w:sz w:val="16"/>
                <w:szCs w:val="16"/>
                <w:lang w:eastAsia="cs-CZ"/>
              </w:rPr>
              <w:t xml:space="preserve">, SIP včetně zabezpečení, </w:t>
            </w:r>
            <w:proofErr w:type="spellStart"/>
            <w:r w:rsidRPr="008D4FC8">
              <w:rPr>
                <w:rFonts w:ascii="Calibri" w:eastAsia="Times New Roman" w:hAnsi="Calibri"/>
                <w:color w:val="000000"/>
                <w:sz w:val="16"/>
                <w:szCs w:val="16"/>
                <w:lang w:eastAsia="cs-CZ"/>
              </w:rPr>
              <w:t>rate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limitingu</w:t>
            </w:r>
            <w:proofErr w:type="spellEnd"/>
            <w:r w:rsidRPr="008D4FC8">
              <w:rPr>
                <w:rFonts w:ascii="Calibri" w:eastAsia="Times New Roman" w:hAnsi="Calibri"/>
                <w:color w:val="000000"/>
                <w:sz w:val="16"/>
                <w:szCs w:val="16"/>
                <w:lang w:eastAsia="cs-CZ"/>
              </w:rPr>
              <w:t>, analýzy protokolu</w:t>
            </w:r>
          </w:p>
        </w:tc>
        <w:tc>
          <w:tcPr>
            <w:tcW w:w="2835" w:type="dxa"/>
            <w:tcBorders>
              <w:top w:val="nil"/>
              <w:left w:val="nil"/>
              <w:bottom w:val="single" w:sz="4" w:space="0" w:color="auto"/>
              <w:right w:val="single" w:sz="4" w:space="0" w:color="auto"/>
            </w:tcBorders>
            <w:shd w:val="clear" w:color="auto" w:fill="auto"/>
            <w:vAlign w:val="center"/>
            <w:hideMark/>
          </w:tcPr>
          <w:p w14:paraId="72DFCE9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0F04989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FCB4CFB"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E095D7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4" w:space="0" w:color="000000"/>
              <w:right w:val="single" w:sz="8" w:space="0" w:color="auto"/>
            </w:tcBorders>
            <w:vAlign w:val="center"/>
            <w:hideMark/>
          </w:tcPr>
          <w:p w14:paraId="28528335"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08042D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WAN optimalizace (optimalizace vybraných protokolů, byte </w:t>
            </w:r>
            <w:proofErr w:type="spellStart"/>
            <w:r w:rsidRPr="008D4FC8">
              <w:rPr>
                <w:rFonts w:ascii="Calibri" w:eastAsia="Times New Roman" w:hAnsi="Calibri"/>
                <w:color w:val="000000"/>
                <w:sz w:val="16"/>
                <w:szCs w:val="16"/>
                <w:lang w:eastAsia="cs-CZ"/>
              </w:rPr>
              <w:t>chaching</w:t>
            </w:r>
            <w:proofErr w:type="spellEnd"/>
            <w:r w:rsidRPr="008D4FC8">
              <w:rPr>
                <w:rFonts w:ascii="Calibri" w:eastAsia="Times New Roman" w:hAnsi="Calibri"/>
                <w:color w:val="000000"/>
                <w:sz w:val="16"/>
                <w:szCs w:val="16"/>
                <w:lang w:eastAsia="cs-CZ"/>
              </w:rPr>
              <w:t xml:space="preserve">), Web </w:t>
            </w:r>
            <w:proofErr w:type="spellStart"/>
            <w:r w:rsidRPr="008D4FC8">
              <w:rPr>
                <w:rFonts w:ascii="Calibri" w:eastAsia="Times New Roman" w:hAnsi="Calibri"/>
                <w:color w:val="000000"/>
                <w:sz w:val="16"/>
                <w:szCs w:val="16"/>
                <w:lang w:eastAsia="cs-CZ"/>
              </w:rPr>
              <w:t>Cache</w:t>
            </w:r>
            <w:proofErr w:type="spellEnd"/>
            <w:r w:rsidRPr="008D4FC8">
              <w:rPr>
                <w:rFonts w:ascii="Calibri" w:eastAsia="Times New Roman" w:hAnsi="Calibri"/>
                <w:color w:val="000000"/>
                <w:sz w:val="16"/>
                <w:szCs w:val="16"/>
                <w:lang w:eastAsia="cs-CZ"/>
              </w:rPr>
              <w:t xml:space="preserve">, Explicitní Proxy, Reverzní </w:t>
            </w:r>
            <w:proofErr w:type="spellStart"/>
            <w:r w:rsidRPr="008D4FC8">
              <w:rPr>
                <w:rFonts w:ascii="Calibri" w:eastAsia="Times New Roman" w:hAnsi="Calibri"/>
                <w:color w:val="000000"/>
                <w:sz w:val="16"/>
                <w:szCs w:val="16"/>
                <w:lang w:eastAsia="cs-CZ"/>
              </w:rPr>
              <w:t>proxy</w:t>
            </w:r>
            <w:proofErr w:type="spellEnd"/>
            <w:r w:rsidRPr="008D4FC8">
              <w:rPr>
                <w:rFonts w:ascii="Calibri" w:eastAsia="Times New Roman" w:hAnsi="Calibri"/>
                <w:color w:val="000000"/>
                <w:sz w:val="16"/>
                <w:szCs w:val="16"/>
                <w:lang w:eastAsia="cs-CZ"/>
              </w:rPr>
              <w:t>, WCCP</w:t>
            </w:r>
          </w:p>
        </w:tc>
        <w:tc>
          <w:tcPr>
            <w:tcW w:w="2835" w:type="dxa"/>
            <w:tcBorders>
              <w:top w:val="nil"/>
              <w:left w:val="nil"/>
              <w:bottom w:val="single" w:sz="4" w:space="0" w:color="auto"/>
              <w:right w:val="single" w:sz="4" w:space="0" w:color="auto"/>
            </w:tcBorders>
            <w:shd w:val="clear" w:color="auto" w:fill="auto"/>
            <w:vAlign w:val="center"/>
            <w:hideMark/>
          </w:tcPr>
          <w:p w14:paraId="53915A5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0A42CD5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50BE02F"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55507A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A12B28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Reporty</w:t>
            </w:r>
          </w:p>
        </w:tc>
        <w:tc>
          <w:tcPr>
            <w:tcW w:w="5954" w:type="dxa"/>
            <w:tcBorders>
              <w:top w:val="nil"/>
              <w:left w:val="nil"/>
              <w:bottom w:val="single" w:sz="4" w:space="0" w:color="auto"/>
              <w:right w:val="single" w:sz="4" w:space="0" w:color="auto"/>
            </w:tcBorders>
            <w:shd w:val="clear" w:color="auto" w:fill="auto"/>
            <w:vAlign w:val="center"/>
            <w:hideMark/>
          </w:tcPr>
          <w:p w14:paraId="1A570B5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Integrované logování a reporting, možnost vytváření vlastních reportů</w:t>
            </w:r>
          </w:p>
        </w:tc>
        <w:tc>
          <w:tcPr>
            <w:tcW w:w="2835" w:type="dxa"/>
            <w:tcBorders>
              <w:top w:val="nil"/>
              <w:left w:val="nil"/>
              <w:bottom w:val="single" w:sz="4" w:space="0" w:color="auto"/>
              <w:right w:val="single" w:sz="4" w:space="0" w:color="auto"/>
            </w:tcBorders>
            <w:shd w:val="clear" w:color="auto" w:fill="auto"/>
            <w:vAlign w:val="center"/>
            <w:hideMark/>
          </w:tcPr>
          <w:p w14:paraId="185B6BA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center"/>
            <w:hideMark/>
          </w:tcPr>
          <w:p w14:paraId="063D344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CF5CD50"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3A45B1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nil"/>
              <w:right w:val="single" w:sz="8" w:space="0" w:color="auto"/>
            </w:tcBorders>
            <w:shd w:val="clear" w:color="auto" w:fill="auto"/>
            <w:vAlign w:val="center"/>
            <w:hideMark/>
          </w:tcPr>
          <w:p w14:paraId="3347707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Certifikace</w:t>
            </w:r>
          </w:p>
        </w:tc>
        <w:tc>
          <w:tcPr>
            <w:tcW w:w="5954" w:type="dxa"/>
            <w:tcBorders>
              <w:top w:val="nil"/>
              <w:left w:val="nil"/>
              <w:bottom w:val="nil"/>
              <w:right w:val="single" w:sz="4" w:space="0" w:color="auto"/>
            </w:tcBorders>
            <w:shd w:val="clear" w:color="auto" w:fill="auto"/>
            <w:vAlign w:val="center"/>
            <w:hideMark/>
          </w:tcPr>
          <w:p w14:paraId="56B2BA1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Doložení certifikace nabízeného řešení uznávanou autoritou. Např. ICSA </w:t>
            </w:r>
            <w:proofErr w:type="spellStart"/>
            <w:r w:rsidRPr="008D4FC8">
              <w:rPr>
                <w:rFonts w:ascii="Calibri" w:eastAsia="Times New Roman" w:hAnsi="Calibri"/>
                <w:color w:val="000000"/>
                <w:sz w:val="16"/>
                <w:szCs w:val="16"/>
                <w:lang w:eastAsia="cs-CZ"/>
              </w:rPr>
              <w:t>Labs</w:t>
            </w:r>
            <w:proofErr w:type="spellEnd"/>
            <w:r w:rsidRPr="008D4FC8">
              <w:rPr>
                <w:rFonts w:ascii="Calibri" w:eastAsia="Times New Roman" w:hAnsi="Calibri"/>
                <w:color w:val="000000"/>
                <w:sz w:val="16"/>
                <w:szCs w:val="16"/>
                <w:lang w:eastAsia="cs-CZ"/>
              </w:rPr>
              <w:t xml:space="preserve"> apod.</w:t>
            </w:r>
          </w:p>
        </w:tc>
        <w:tc>
          <w:tcPr>
            <w:tcW w:w="2835" w:type="dxa"/>
            <w:tcBorders>
              <w:top w:val="nil"/>
              <w:left w:val="nil"/>
              <w:bottom w:val="nil"/>
              <w:right w:val="single" w:sz="4" w:space="0" w:color="auto"/>
            </w:tcBorders>
            <w:shd w:val="clear" w:color="auto" w:fill="auto"/>
            <w:vAlign w:val="center"/>
            <w:hideMark/>
          </w:tcPr>
          <w:p w14:paraId="219A8A1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nil"/>
              <w:right w:val="single" w:sz="8" w:space="0" w:color="auto"/>
            </w:tcBorders>
            <w:shd w:val="clear" w:color="auto" w:fill="auto"/>
            <w:vAlign w:val="center"/>
            <w:hideMark/>
          </w:tcPr>
          <w:p w14:paraId="40B00D2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121C5F7" w14:textId="77777777" w:rsidTr="008D4FC8">
        <w:trPr>
          <w:trHeight w:val="46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CD253B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6BE2BBF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Záruka</w:t>
            </w:r>
          </w:p>
        </w:tc>
        <w:tc>
          <w:tcPr>
            <w:tcW w:w="5954" w:type="dxa"/>
            <w:tcBorders>
              <w:top w:val="single" w:sz="4" w:space="0" w:color="auto"/>
              <w:left w:val="nil"/>
              <w:bottom w:val="single" w:sz="8" w:space="0" w:color="auto"/>
              <w:right w:val="single" w:sz="4" w:space="0" w:color="auto"/>
            </w:tcBorders>
            <w:shd w:val="clear" w:color="auto" w:fill="auto"/>
            <w:vAlign w:val="center"/>
            <w:hideMark/>
          </w:tcPr>
          <w:p w14:paraId="7452ECA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Záruka výrobce min. 1 rok v režimu 8x5 na HW, OS, firmware a kompletní bezpečnostní SW. SW musí obsahovat IPS, AV, Web </w:t>
            </w:r>
            <w:proofErr w:type="spellStart"/>
            <w:r w:rsidRPr="008D4FC8">
              <w:rPr>
                <w:rFonts w:ascii="Calibri" w:eastAsia="Times New Roman" w:hAnsi="Calibri"/>
                <w:color w:val="000000"/>
                <w:sz w:val="16"/>
                <w:szCs w:val="16"/>
                <w:lang w:eastAsia="cs-CZ"/>
              </w:rPr>
              <w:t>Filtering</w:t>
            </w:r>
            <w:proofErr w:type="spellEnd"/>
            <w:r w:rsidRPr="008D4FC8">
              <w:rPr>
                <w:rFonts w:ascii="Calibri" w:eastAsia="Times New Roman" w:hAnsi="Calibri"/>
                <w:color w:val="000000"/>
                <w:sz w:val="16"/>
                <w:szCs w:val="16"/>
                <w:lang w:eastAsia="cs-CZ"/>
              </w:rPr>
              <w:t xml:space="preserve"> a </w:t>
            </w:r>
            <w:proofErr w:type="spellStart"/>
            <w:r w:rsidRPr="008D4FC8">
              <w:rPr>
                <w:rFonts w:ascii="Calibri" w:eastAsia="Times New Roman" w:hAnsi="Calibri"/>
                <w:color w:val="000000"/>
                <w:sz w:val="16"/>
                <w:szCs w:val="16"/>
                <w:lang w:eastAsia="cs-CZ"/>
              </w:rPr>
              <w:t>Antispam</w:t>
            </w:r>
            <w:proofErr w:type="spellEnd"/>
            <w:r w:rsidRPr="008D4FC8">
              <w:rPr>
                <w:rFonts w:ascii="Calibri" w:eastAsia="Times New Roman" w:hAnsi="Calibri"/>
                <w:color w:val="000000"/>
                <w:sz w:val="16"/>
                <w:szCs w:val="16"/>
                <w:lang w:eastAsia="cs-CZ"/>
              </w:rPr>
              <w:t xml:space="preserve"> aktualizace. </w:t>
            </w:r>
          </w:p>
        </w:tc>
        <w:tc>
          <w:tcPr>
            <w:tcW w:w="2835" w:type="dxa"/>
            <w:tcBorders>
              <w:top w:val="single" w:sz="4" w:space="0" w:color="auto"/>
              <w:left w:val="nil"/>
              <w:bottom w:val="single" w:sz="8" w:space="0" w:color="auto"/>
              <w:right w:val="single" w:sz="4" w:space="0" w:color="auto"/>
            </w:tcBorders>
            <w:shd w:val="clear" w:color="auto" w:fill="auto"/>
            <w:vAlign w:val="center"/>
            <w:hideMark/>
          </w:tcPr>
          <w:p w14:paraId="2C4E3D7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single" w:sz="4" w:space="0" w:color="auto"/>
              <w:left w:val="nil"/>
              <w:bottom w:val="single" w:sz="8" w:space="0" w:color="auto"/>
              <w:right w:val="single" w:sz="8" w:space="0" w:color="auto"/>
            </w:tcBorders>
            <w:shd w:val="clear" w:color="auto" w:fill="auto"/>
            <w:vAlign w:val="center"/>
            <w:hideMark/>
          </w:tcPr>
          <w:p w14:paraId="5098632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EE25C2E" w14:textId="77777777" w:rsidTr="008D4FC8">
        <w:trPr>
          <w:trHeight w:val="225"/>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07B43793" w14:textId="331E453F"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SIEM (</w:t>
            </w:r>
            <w:proofErr w:type="spellStart"/>
            <w:r w:rsidRPr="008D4FC8">
              <w:rPr>
                <w:rFonts w:ascii="Calibri" w:eastAsia="Times New Roman" w:hAnsi="Calibri"/>
                <w:b/>
                <w:bCs/>
                <w:color w:val="000000"/>
                <w:sz w:val="16"/>
                <w:szCs w:val="16"/>
                <w:lang w:eastAsia="cs-CZ"/>
              </w:rPr>
              <w:t>Security</w:t>
            </w:r>
            <w:proofErr w:type="spellEnd"/>
            <w:r w:rsidRPr="008D4FC8">
              <w:rPr>
                <w:rFonts w:ascii="Calibri" w:eastAsia="Times New Roman" w:hAnsi="Calibri"/>
                <w:b/>
                <w:bCs/>
                <w:color w:val="000000"/>
                <w:sz w:val="16"/>
                <w:szCs w:val="16"/>
                <w:lang w:eastAsia="cs-CZ"/>
              </w:rPr>
              <w:t xml:space="preserve"> </w:t>
            </w:r>
            <w:r w:rsidR="009412CB">
              <w:rPr>
                <w:rFonts w:ascii="Calibri" w:eastAsia="Times New Roman" w:hAnsi="Calibri"/>
                <w:b/>
                <w:bCs/>
                <w:color w:val="000000"/>
                <w:sz w:val="16"/>
                <w:szCs w:val="16"/>
                <w:lang w:eastAsia="cs-CZ"/>
              </w:rPr>
              <w:t xml:space="preserve"> </w:t>
            </w:r>
            <w:proofErr w:type="spellStart"/>
            <w:r w:rsidR="009412CB">
              <w:rPr>
                <w:rFonts w:ascii="Calibri" w:eastAsia="Times New Roman" w:hAnsi="Calibri"/>
                <w:b/>
                <w:bCs/>
                <w:color w:val="000000"/>
                <w:sz w:val="16"/>
                <w:szCs w:val="16"/>
                <w:lang w:eastAsia="cs-CZ"/>
              </w:rPr>
              <w:t>Information</w:t>
            </w:r>
            <w:proofErr w:type="spellEnd"/>
            <w:r w:rsidR="009412CB">
              <w:rPr>
                <w:rFonts w:ascii="Calibri" w:eastAsia="Times New Roman" w:hAnsi="Calibri"/>
                <w:b/>
                <w:bCs/>
                <w:color w:val="000000"/>
                <w:sz w:val="16"/>
                <w:szCs w:val="16"/>
                <w:lang w:eastAsia="cs-CZ"/>
              </w:rPr>
              <w:t xml:space="preserve"> </w:t>
            </w:r>
            <w:r w:rsidRPr="008D4FC8">
              <w:rPr>
                <w:rFonts w:ascii="Calibri" w:eastAsia="Times New Roman" w:hAnsi="Calibri"/>
                <w:b/>
                <w:bCs/>
                <w:color w:val="000000"/>
                <w:sz w:val="16"/>
                <w:szCs w:val="16"/>
                <w:lang w:eastAsia="cs-CZ"/>
              </w:rPr>
              <w:t xml:space="preserve">and </w:t>
            </w:r>
            <w:proofErr w:type="spellStart"/>
            <w:r w:rsidRPr="008D4FC8">
              <w:rPr>
                <w:rFonts w:ascii="Calibri" w:eastAsia="Times New Roman" w:hAnsi="Calibri"/>
                <w:b/>
                <w:bCs/>
                <w:color w:val="000000"/>
                <w:sz w:val="16"/>
                <w:szCs w:val="16"/>
                <w:lang w:eastAsia="cs-CZ"/>
              </w:rPr>
              <w:t>Event</w:t>
            </w:r>
            <w:proofErr w:type="spellEnd"/>
            <w:r w:rsidRPr="008D4FC8">
              <w:rPr>
                <w:rFonts w:ascii="Calibri" w:eastAsia="Times New Roman" w:hAnsi="Calibri"/>
                <w:b/>
                <w:bCs/>
                <w:color w:val="000000"/>
                <w:sz w:val="16"/>
                <w:szCs w:val="16"/>
                <w:lang w:eastAsia="cs-CZ"/>
              </w:rPr>
              <w:t xml:space="preserve"> Management)</w:t>
            </w:r>
          </w:p>
        </w:tc>
        <w:tc>
          <w:tcPr>
            <w:tcW w:w="1276" w:type="dxa"/>
            <w:tcBorders>
              <w:top w:val="nil"/>
              <w:left w:val="nil"/>
              <w:bottom w:val="single" w:sz="4" w:space="0" w:color="auto"/>
              <w:right w:val="single" w:sz="8" w:space="0" w:color="000000"/>
            </w:tcBorders>
            <w:shd w:val="clear" w:color="auto" w:fill="auto"/>
            <w:vAlign w:val="center"/>
            <w:hideMark/>
          </w:tcPr>
          <w:p w14:paraId="27C4C7A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Provedení</w:t>
            </w:r>
          </w:p>
        </w:tc>
        <w:tc>
          <w:tcPr>
            <w:tcW w:w="5954" w:type="dxa"/>
            <w:tcBorders>
              <w:top w:val="nil"/>
              <w:left w:val="nil"/>
              <w:bottom w:val="single" w:sz="4" w:space="0" w:color="auto"/>
              <w:right w:val="single" w:sz="4" w:space="0" w:color="auto"/>
            </w:tcBorders>
            <w:shd w:val="clear" w:color="auto" w:fill="auto"/>
            <w:vAlign w:val="center"/>
            <w:hideMark/>
          </w:tcPr>
          <w:p w14:paraId="432B974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do racku, rozměr max. 1RU, včetně montážního materiálu do racku</w:t>
            </w:r>
          </w:p>
        </w:tc>
        <w:tc>
          <w:tcPr>
            <w:tcW w:w="2835" w:type="dxa"/>
            <w:tcBorders>
              <w:top w:val="nil"/>
              <w:left w:val="nil"/>
              <w:bottom w:val="single" w:sz="4" w:space="0" w:color="auto"/>
              <w:right w:val="single" w:sz="4" w:space="0" w:color="auto"/>
            </w:tcBorders>
            <w:shd w:val="clear" w:color="auto" w:fill="auto"/>
            <w:noWrap/>
            <w:vAlign w:val="bottom"/>
            <w:hideMark/>
          </w:tcPr>
          <w:p w14:paraId="7A56BBC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C6E4F3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D6AE54F"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2CF7312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000000"/>
            </w:tcBorders>
            <w:shd w:val="clear" w:color="auto" w:fill="auto"/>
            <w:vAlign w:val="center"/>
            <w:hideMark/>
          </w:tcPr>
          <w:p w14:paraId="2225298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Obecné vlastnosti</w:t>
            </w:r>
          </w:p>
        </w:tc>
        <w:tc>
          <w:tcPr>
            <w:tcW w:w="5954" w:type="dxa"/>
            <w:tcBorders>
              <w:top w:val="nil"/>
              <w:left w:val="nil"/>
              <w:bottom w:val="single" w:sz="4" w:space="0" w:color="auto"/>
              <w:right w:val="single" w:sz="4" w:space="0" w:color="auto"/>
            </w:tcBorders>
            <w:shd w:val="clear" w:color="auto" w:fill="auto"/>
            <w:vAlign w:val="center"/>
            <w:hideMark/>
          </w:tcPr>
          <w:p w14:paraId="06B674F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Zařízení zahrnuje všechny komponenty pro správu logů (Log Management), správu událostí (</w:t>
            </w:r>
            <w:proofErr w:type="spellStart"/>
            <w:r w:rsidRPr="008D4FC8">
              <w:rPr>
                <w:rFonts w:ascii="Calibri" w:eastAsia="Times New Roman" w:hAnsi="Calibri"/>
                <w:color w:val="000000"/>
                <w:sz w:val="16"/>
                <w:szCs w:val="16"/>
                <w:lang w:eastAsia="cs-CZ"/>
              </w:rPr>
              <w:t>Event</w:t>
            </w:r>
            <w:proofErr w:type="spellEnd"/>
            <w:r w:rsidRPr="008D4FC8">
              <w:rPr>
                <w:rFonts w:ascii="Calibri" w:eastAsia="Times New Roman" w:hAnsi="Calibri"/>
                <w:color w:val="000000"/>
                <w:sz w:val="16"/>
                <w:szCs w:val="16"/>
                <w:lang w:eastAsia="cs-CZ"/>
              </w:rPr>
              <w:t xml:space="preserve"> management), Korelace, příjem a sběr logů, centrální správu a reporting</w:t>
            </w:r>
          </w:p>
        </w:tc>
        <w:tc>
          <w:tcPr>
            <w:tcW w:w="2835" w:type="dxa"/>
            <w:tcBorders>
              <w:top w:val="nil"/>
              <w:left w:val="nil"/>
              <w:bottom w:val="single" w:sz="4" w:space="0" w:color="auto"/>
              <w:right w:val="single" w:sz="4" w:space="0" w:color="auto"/>
            </w:tcBorders>
            <w:shd w:val="clear" w:color="auto" w:fill="auto"/>
            <w:noWrap/>
            <w:vAlign w:val="bottom"/>
            <w:hideMark/>
          </w:tcPr>
          <w:p w14:paraId="20B1CA3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FA6CF4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330DE6A" w14:textId="77777777" w:rsidTr="008D4FC8">
        <w:trPr>
          <w:trHeight w:val="270"/>
        </w:trPr>
        <w:tc>
          <w:tcPr>
            <w:tcW w:w="1124" w:type="dxa"/>
            <w:vMerge/>
            <w:tcBorders>
              <w:top w:val="nil"/>
              <w:left w:val="single" w:sz="8" w:space="0" w:color="auto"/>
              <w:bottom w:val="single" w:sz="8" w:space="0" w:color="000000"/>
              <w:right w:val="single" w:sz="8" w:space="0" w:color="auto"/>
            </w:tcBorders>
            <w:vAlign w:val="center"/>
            <w:hideMark/>
          </w:tcPr>
          <w:p w14:paraId="28EBCD9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000000"/>
            </w:tcBorders>
            <w:shd w:val="clear" w:color="auto" w:fill="auto"/>
            <w:vAlign w:val="center"/>
            <w:hideMark/>
          </w:tcPr>
          <w:p w14:paraId="793B9F3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Bezpečnostní standardy</w:t>
            </w:r>
          </w:p>
        </w:tc>
        <w:tc>
          <w:tcPr>
            <w:tcW w:w="5954" w:type="dxa"/>
            <w:tcBorders>
              <w:top w:val="nil"/>
              <w:left w:val="nil"/>
              <w:bottom w:val="single" w:sz="4" w:space="0" w:color="auto"/>
              <w:right w:val="single" w:sz="4" w:space="0" w:color="auto"/>
            </w:tcBorders>
            <w:shd w:val="clear" w:color="auto" w:fill="auto"/>
            <w:vAlign w:val="center"/>
            <w:hideMark/>
          </w:tcPr>
          <w:p w14:paraId="7F577D4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Certifikace </w:t>
            </w:r>
            <w:proofErr w:type="spellStart"/>
            <w:r w:rsidRPr="008D4FC8">
              <w:rPr>
                <w:rFonts w:ascii="Calibri" w:eastAsia="Times New Roman" w:hAnsi="Calibri"/>
                <w:color w:val="000000"/>
                <w:sz w:val="16"/>
                <w:szCs w:val="16"/>
                <w:lang w:eastAsia="cs-CZ"/>
              </w:rPr>
              <w:t>Common</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Criteria</w:t>
            </w:r>
            <w:proofErr w:type="spellEnd"/>
            <w:r w:rsidRPr="008D4FC8">
              <w:rPr>
                <w:rFonts w:ascii="Calibri" w:eastAsia="Times New Roman" w:hAnsi="Calibri"/>
                <w:color w:val="000000"/>
                <w:sz w:val="16"/>
                <w:szCs w:val="16"/>
                <w:lang w:eastAsia="cs-CZ"/>
              </w:rPr>
              <w:t xml:space="preserve"> EAL 3 a vyšší a FIPS 140-2, min. </w:t>
            </w:r>
            <w:proofErr w:type="spellStart"/>
            <w:r w:rsidRPr="008D4FC8">
              <w:rPr>
                <w:rFonts w:ascii="Calibri" w:eastAsia="Times New Roman" w:hAnsi="Calibri"/>
                <w:color w:val="000000"/>
                <w:sz w:val="16"/>
                <w:szCs w:val="16"/>
                <w:lang w:eastAsia="cs-CZ"/>
              </w:rPr>
              <w:t>Level</w:t>
            </w:r>
            <w:proofErr w:type="spellEnd"/>
            <w:r w:rsidRPr="008D4FC8">
              <w:rPr>
                <w:rFonts w:ascii="Calibri" w:eastAsia="Times New Roman" w:hAnsi="Calibri"/>
                <w:color w:val="000000"/>
                <w:sz w:val="16"/>
                <w:szCs w:val="16"/>
                <w:lang w:eastAsia="cs-CZ"/>
              </w:rPr>
              <w:t xml:space="preserve"> 2</w:t>
            </w:r>
          </w:p>
        </w:tc>
        <w:tc>
          <w:tcPr>
            <w:tcW w:w="2835" w:type="dxa"/>
            <w:tcBorders>
              <w:top w:val="nil"/>
              <w:left w:val="nil"/>
              <w:bottom w:val="single" w:sz="4" w:space="0" w:color="auto"/>
              <w:right w:val="single" w:sz="4" w:space="0" w:color="auto"/>
            </w:tcBorders>
            <w:shd w:val="clear" w:color="auto" w:fill="auto"/>
            <w:noWrap/>
            <w:vAlign w:val="bottom"/>
            <w:hideMark/>
          </w:tcPr>
          <w:p w14:paraId="5A6F1D6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3C90E2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BEB60F3"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4D13FE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nil"/>
              <w:bottom w:val="single" w:sz="4" w:space="0" w:color="auto"/>
              <w:right w:val="single" w:sz="8" w:space="0" w:color="000000"/>
            </w:tcBorders>
            <w:shd w:val="clear" w:color="auto" w:fill="auto"/>
            <w:vAlign w:val="center"/>
            <w:hideMark/>
          </w:tcPr>
          <w:p w14:paraId="6A8C7D7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Výkon a kapacita</w:t>
            </w:r>
          </w:p>
        </w:tc>
        <w:tc>
          <w:tcPr>
            <w:tcW w:w="5954" w:type="dxa"/>
            <w:tcBorders>
              <w:top w:val="nil"/>
              <w:left w:val="nil"/>
              <w:bottom w:val="single" w:sz="4" w:space="0" w:color="auto"/>
              <w:right w:val="single" w:sz="4" w:space="0" w:color="auto"/>
            </w:tcBorders>
            <w:shd w:val="clear" w:color="auto" w:fill="auto"/>
            <w:vAlign w:val="center"/>
            <w:hideMark/>
          </w:tcPr>
          <w:p w14:paraId="2AB74B0B" w14:textId="09E43010" w:rsidR="008D4FC8" w:rsidRPr="008D4FC8" w:rsidRDefault="00AD4233" w:rsidP="008D4FC8">
            <w:pPr>
              <w:spacing w:after="0"/>
              <w:jc w:val="left"/>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8D4FC8" w:rsidRPr="008D4FC8">
              <w:rPr>
                <w:rFonts w:ascii="Calibri" w:eastAsia="Times New Roman" w:hAnsi="Calibri"/>
                <w:color w:val="000000"/>
                <w:sz w:val="16"/>
                <w:szCs w:val="16"/>
                <w:lang w:eastAsia="cs-CZ"/>
              </w:rPr>
              <w:t>inimálně 1100 EPS (</w:t>
            </w:r>
            <w:proofErr w:type="spellStart"/>
            <w:r w:rsidR="008D4FC8" w:rsidRPr="008D4FC8">
              <w:rPr>
                <w:rFonts w:ascii="Calibri" w:eastAsia="Times New Roman" w:hAnsi="Calibri"/>
                <w:color w:val="000000"/>
                <w:sz w:val="16"/>
                <w:szCs w:val="16"/>
                <w:lang w:eastAsia="cs-CZ"/>
              </w:rPr>
              <w:t>event</w:t>
            </w:r>
            <w:proofErr w:type="spellEnd"/>
            <w:r w:rsidR="008D4FC8" w:rsidRPr="008D4FC8">
              <w:rPr>
                <w:rFonts w:ascii="Calibri" w:eastAsia="Times New Roman" w:hAnsi="Calibri"/>
                <w:color w:val="000000"/>
                <w:sz w:val="16"/>
                <w:szCs w:val="16"/>
                <w:lang w:eastAsia="cs-CZ"/>
              </w:rPr>
              <w:t xml:space="preserve"> per second)</w:t>
            </w:r>
          </w:p>
        </w:tc>
        <w:tc>
          <w:tcPr>
            <w:tcW w:w="2835" w:type="dxa"/>
            <w:tcBorders>
              <w:top w:val="nil"/>
              <w:left w:val="nil"/>
              <w:bottom w:val="single" w:sz="4" w:space="0" w:color="auto"/>
              <w:right w:val="single" w:sz="4" w:space="0" w:color="auto"/>
            </w:tcBorders>
            <w:shd w:val="clear" w:color="auto" w:fill="auto"/>
            <w:noWrap/>
            <w:vAlign w:val="bottom"/>
            <w:hideMark/>
          </w:tcPr>
          <w:p w14:paraId="54C6AE5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51B85D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F2AB146"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FF3392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70E5203A"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11249B5" w14:textId="379EDC2B" w:rsidR="008D4FC8" w:rsidRPr="008D4FC8" w:rsidRDefault="00AD4233" w:rsidP="008D4FC8">
            <w:pPr>
              <w:spacing w:after="0"/>
              <w:jc w:val="left"/>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ři překročení výkonu nesmí dojít ke ztrátě událostí, je přípustné pouze prodloužení doby jejich zpracování</w:t>
            </w:r>
          </w:p>
        </w:tc>
        <w:tc>
          <w:tcPr>
            <w:tcW w:w="2835" w:type="dxa"/>
            <w:tcBorders>
              <w:top w:val="nil"/>
              <w:left w:val="nil"/>
              <w:bottom w:val="single" w:sz="4" w:space="0" w:color="auto"/>
              <w:right w:val="single" w:sz="4" w:space="0" w:color="auto"/>
            </w:tcBorders>
            <w:shd w:val="clear" w:color="auto" w:fill="auto"/>
            <w:noWrap/>
            <w:vAlign w:val="bottom"/>
            <w:hideMark/>
          </w:tcPr>
          <w:p w14:paraId="55A2695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2AF039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462873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3DF7AF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6F7DE3FF"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4BA08E4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Rychlé (</w:t>
            </w:r>
            <w:proofErr w:type="spellStart"/>
            <w:r w:rsidRPr="008D4FC8">
              <w:rPr>
                <w:rFonts w:ascii="Calibri" w:eastAsia="Times New Roman" w:hAnsi="Calibri"/>
                <w:color w:val="000000"/>
                <w:sz w:val="16"/>
                <w:szCs w:val="16"/>
                <w:lang w:eastAsia="cs-CZ"/>
              </w:rPr>
              <w:t>flash</w:t>
            </w:r>
            <w:proofErr w:type="spellEnd"/>
            <w:r w:rsidRPr="008D4FC8">
              <w:rPr>
                <w:rFonts w:ascii="Calibri" w:eastAsia="Times New Roman" w:hAnsi="Calibri"/>
                <w:color w:val="000000"/>
                <w:sz w:val="16"/>
                <w:szCs w:val="16"/>
                <w:lang w:eastAsia="cs-CZ"/>
              </w:rPr>
              <w:t>, SSD) úložiště pro zpracovávaná data - min. 0,4 TB</w:t>
            </w:r>
          </w:p>
        </w:tc>
        <w:tc>
          <w:tcPr>
            <w:tcW w:w="2835" w:type="dxa"/>
            <w:tcBorders>
              <w:top w:val="nil"/>
              <w:left w:val="nil"/>
              <w:bottom w:val="single" w:sz="4" w:space="0" w:color="auto"/>
              <w:right w:val="single" w:sz="4" w:space="0" w:color="auto"/>
            </w:tcBorders>
            <w:shd w:val="clear" w:color="auto" w:fill="auto"/>
            <w:noWrap/>
            <w:vAlign w:val="bottom"/>
            <w:hideMark/>
          </w:tcPr>
          <w:p w14:paraId="697FB95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3F7617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6D6B64E" w14:textId="77777777" w:rsidTr="008D4FC8">
        <w:trPr>
          <w:trHeight w:val="270"/>
        </w:trPr>
        <w:tc>
          <w:tcPr>
            <w:tcW w:w="1124" w:type="dxa"/>
            <w:vMerge/>
            <w:tcBorders>
              <w:top w:val="nil"/>
              <w:left w:val="single" w:sz="8" w:space="0" w:color="auto"/>
              <w:bottom w:val="single" w:sz="8" w:space="0" w:color="000000"/>
              <w:right w:val="single" w:sz="8" w:space="0" w:color="auto"/>
            </w:tcBorders>
            <w:vAlign w:val="center"/>
            <w:hideMark/>
          </w:tcPr>
          <w:p w14:paraId="72EA2E4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1CFE702D"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822371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Využitelná kapacita interního úložiště min. 3 TB (bez </w:t>
            </w:r>
            <w:proofErr w:type="spellStart"/>
            <w:r w:rsidRPr="008D4FC8">
              <w:rPr>
                <w:rFonts w:ascii="Calibri" w:eastAsia="Times New Roman" w:hAnsi="Calibri"/>
                <w:color w:val="000000"/>
                <w:sz w:val="16"/>
                <w:szCs w:val="16"/>
                <w:lang w:eastAsia="cs-CZ"/>
              </w:rPr>
              <w:t>flash</w:t>
            </w:r>
            <w:proofErr w:type="spellEnd"/>
            <w:r w:rsidRPr="008D4FC8">
              <w:rPr>
                <w:rFonts w:ascii="Calibri" w:eastAsia="Times New Roman" w:hAnsi="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noWrap/>
            <w:vAlign w:val="bottom"/>
            <w:hideMark/>
          </w:tcPr>
          <w:p w14:paraId="03A8C89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D245B7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6A6CF16"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61CBDC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nil"/>
              <w:bottom w:val="single" w:sz="4" w:space="0" w:color="auto"/>
              <w:right w:val="single" w:sz="8" w:space="0" w:color="000000"/>
            </w:tcBorders>
            <w:shd w:val="clear" w:color="auto" w:fill="auto"/>
            <w:vAlign w:val="center"/>
            <w:hideMark/>
          </w:tcPr>
          <w:p w14:paraId="37A872D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Administrativní rozhraní</w:t>
            </w:r>
          </w:p>
        </w:tc>
        <w:tc>
          <w:tcPr>
            <w:tcW w:w="5954" w:type="dxa"/>
            <w:tcBorders>
              <w:top w:val="nil"/>
              <w:left w:val="nil"/>
              <w:bottom w:val="single" w:sz="4" w:space="0" w:color="auto"/>
              <w:right w:val="single" w:sz="4" w:space="0" w:color="auto"/>
            </w:tcBorders>
            <w:shd w:val="clear" w:color="auto" w:fill="auto"/>
            <w:vAlign w:val="center"/>
            <w:hideMark/>
          </w:tcPr>
          <w:p w14:paraId="544AD19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Centrální webová grafická konzole</w:t>
            </w:r>
          </w:p>
        </w:tc>
        <w:tc>
          <w:tcPr>
            <w:tcW w:w="2835" w:type="dxa"/>
            <w:tcBorders>
              <w:top w:val="nil"/>
              <w:left w:val="nil"/>
              <w:bottom w:val="single" w:sz="4" w:space="0" w:color="auto"/>
              <w:right w:val="single" w:sz="4" w:space="0" w:color="auto"/>
            </w:tcBorders>
            <w:shd w:val="clear" w:color="auto" w:fill="auto"/>
            <w:noWrap/>
            <w:vAlign w:val="bottom"/>
            <w:hideMark/>
          </w:tcPr>
          <w:p w14:paraId="555750C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1C250E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5587D3C"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863740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0A67261C"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22DB36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Delegace oprávnění přístupu ke konfiguraci a reportingu</w:t>
            </w:r>
          </w:p>
        </w:tc>
        <w:tc>
          <w:tcPr>
            <w:tcW w:w="2835" w:type="dxa"/>
            <w:tcBorders>
              <w:top w:val="nil"/>
              <w:left w:val="nil"/>
              <w:bottom w:val="single" w:sz="4" w:space="0" w:color="auto"/>
              <w:right w:val="single" w:sz="4" w:space="0" w:color="auto"/>
            </w:tcBorders>
            <w:shd w:val="clear" w:color="auto" w:fill="auto"/>
            <w:noWrap/>
            <w:vAlign w:val="bottom"/>
            <w:hideMark/>
          </w:tcPr>
          <w:p w14:paraId="1E49195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55EEA8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88E7A37"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EC93D3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493D44D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4E869CE2" w14:textId="2A420976" w:rsidR="008D4FC8" w:rsidRPr="008D4FC8" w:rsidRDefault="008D4FC8" w:rsidP="00134EBC">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Delegace oprávnění přístupu na různé části systému </w:t>
            </w:r>
            <w:r w:rsidR="00134EBC">
              <w:rPr>
                <w:rFonts w:ascii="Calibri" w:eastAsia="Times New Roman" w:hAnsi="Calibri"/>
                <w:color w:val="000000"/>
                <w:sz w:val="16"/>
                <w:szCs w:val="16"/>
                <w:lang w:eastAsia="cs-CZ"/>
              </w:rPr>
              <w:t>alespoň podle sítí, serverů</w:t>
            </w:r>
          </w:p>
        </w:tc>
        <w:tc>
          <w:tcPr>
            <w:tcW w:w="2835" w:type="dxa"/>
            <w:tcBorders>
              <w:top w:val="nil"/>
              <w:left w:val="nil"/>
              <w:bottom w:val="single" w:sz="4" w:space="0" w:color="auto"/>
              <w:right w:val="single" w:sz="4" w:space="0" w:color="auto"/>
            </w:tcBorders>
            <w:shd w:val="clear" w:color="auto" w:fill="auto"/>
            <w:noWrap/>
            <w:vAlign w:val="bottom"/>
            <w:hideMark/>
          </w:tcPr>
          <w:p w14:paraId="1D3D6D7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89CF5C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1D8F764"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CF3410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nil"/>
              <w:bottom w:val="single" w:sz="4" w:space="0" w:color="auto"/>
              <w:right w:val="single" w:sz="8" w:space="0" w:color="000000"/>
            </w:tcBorders>
            <w:shd w:val="clear" w:color="auto" w:fill="auto"/>
            <w:vAlign w:val="center"/>
            <w:hideMark/>
          </w:tcPr>
          <w:p w14:paraId="0B13B55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Podpora protokolů a přenosu dat</w:t>
            </w:r>
          </w:p>
        </w:tc>
        <w:tc>
          <w:tcPr>
            <w:tcW w:w="5954" w:type="dxa"/>
            <w:tcBorders>
              <w:top w:val="nil"/>
              <w:left w:val="nil"/>
              <w:bottom w:val="single" w:sz="4" w:space="0" w:color="auto"/>
              <w:right w:val="single" w:sz="4" w:space="0" w:color="auto"/>
            </w:tcBorders>
            <w:shd w:val="clear" w:color="auto" w:fill="auto"/>
            <w:vAlign w:val="center"/>
            <w:hideMark/>
          </w:tcPr>
          <w:p w14:paraId="0E1FA83D"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Syslog</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6F85EE6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017886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383A56B"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1B97899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1F86AAFE"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C5AA82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SNMP</w:t>
            </w:r>
          </w:p>
        </w:tc>
        <w:tc>
          <w:tcPr>
            <w:tcW w:w="2835" w:type="dxa"/>
            <w:tcBorders>
              <w:top w:val="nil"/>
              <w:left w:val="nil"/>
              <w:bottom w:val="single" w:sz="4" w:space="0" w:color="auto"/>
              <w:right w:val="single" w:sz="4" w:space="0" w:color="auto"/>
            </w:tcBorders>
            <w:shd w:val="clear" w:color="auto" w:fill="auto"/>
            <w:noWrap/>
            <w:vAlign w:val="bottom"/>
            <w:hideMark/>
          </w:tcPr>
          <w:p w14:paraId="0CF14D1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0262C7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D54F061"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1C6DE6D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3F3CBDF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18505EA3"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Netflow</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5E4B45A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8BB87C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C7EE070"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E96823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4F0E7509"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78ACBA2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WMI</w:t>
            </w:r>
          </w:p>
        </w:tc>
        <w:tc>
          <w:tcPr>
            <w:tcW w:w="2835" w:type="dxa"/>
            <w:tcBorders>
              <w:top w:val="nil"/>
              <w:left w:val="nil"/>
              <w:bottom w:val="single" w:sz="4" w:space="0" w:color="auto"/>
              <w:right w:val="single" w:sz="4" w:space="0" w:color="auto"/>
            </w:tcBorders>
            <w:shd w:val="clear" w:color="auto" w:fill="auto"/>
            <w:noWrap/>
            <w:vAlign w:val="bottom"/>
            <w:hideMark/>
          </w:tcPr>
          <w:p w14:paraId="156F3D5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792241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DD31D26"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A752C5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5C32BEA0"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1C7E2B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OPSEC</w:t>
            </w:r>
          </w:p>
        </w:tc>
        <w:tc>
          <w:tcPr>
            <w:tcW w:w="2835" w:type="dxa"/>
            <w:tcBorders>
              <w:top w:val="nil"/>
              <w:left w:val="nil"/>
              <w:bottom w:val="single" w:sz="4" w:space="0" w:color="auto"/>
              <w:right w:val="single" w:sz="4" w:space="0" w:color="auto"/>
            </w:tcBorders>
            <w:shd w:val="clear" w:color="auto" w:fill="auto"/>
            <w:noWrap/>
            <w:vAlign w:val="bottom"/>
            <w:hideMark/>
          </w:tcPr>
          <w:p w14:paraId="0C51FB4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021700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F6FDDE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712108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5B10B6BA"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B3ED37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SCP</w:t>
            </w:r>
          </w:p>
        </w:tc>
        <w:tc>
          <w:tcPr>
            <w:tcW w:w="2835" w:type="dxa"/>
            <w:tcBorders>
              <w:top w:val="nil"/>
              <w:left w:val="nil"/>
              <w:bottom w:val="single" w:sz="4" w:space="0" w:color="auto"/>
              <w:right w:val="single" w:sz="4" w:space="0" w:color="auto"/>
            </w:tcBorders>
            <w:shd w:val="clear" w:color="auto" w:fill="auto"/>
            <w:noWrap/>
            <w:vAlign w:val="bottom"/>
            <w:hideMark/>
          </w:tcPr>
          <w:p w14:paraId="24424FA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EF7471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07585BF"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1A0D3D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21ECA32C"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E3C995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FTP, SFTP, FTPS</w:t>
            </w:r>
          </w:p>
        </w:tc>
        <w:tc>
          <w:tcPr>
            <w:tcW w:w="2835" w:type="dxa"/>
            <w:tcBorders>
              <w:top w:val="nil"/>
              <w:left w:val="nil"/>
              <w:bottom w:val="single" w:sz="4" w:space="0" w:color="auto"/>
              <w:right w:val="single" w:sz="4" w:space="0" w:color="auto"/>
            </w:tcBorders>
            <w:shd w:val="clear" w:color="auto" w:fill="auto"/>
            <w:noWrap/>
            <w:vAlign w:val="bottom"/>
            <w:hideMark/>
          </w:tcPr>
          <w:p w14:paraId="45D2731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596422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190B54C"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1798E29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5F391AB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CC294E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HTTP, HTTPS</w:t>
            </w:r>
          </w:p>
        </w:tc>
        <w:tc>
          <w:tcPr>
            <w:tcW w:w="2835" w:type="dxa"/>
            <w:tcBorders>
              <w:top w:val="nil"/>
              <w:left w:val="nil"/>
              <w:bottom w:val="single" w:sz="4" w:space="0" w:color="auto"/>
              <w:right w:val="single" w:sz="4" w:space="0" w:color="auto"/>
            </w:tcBorders>
            <w:shd w:val="clear" w:color="auto" w:fill="auto"/>
            <w:noWrap/>
            <w:vAlign w:val="bottom"/>
            <w:hideMark/>
          </w:tcPr>
          <w:p w14:paraId="3FD650A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BE028F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AD29EC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787DA1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21C7322D"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71DCAAB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CIFS, SMB</w:t>
            </w:r>
          </w:p>
        </w:tc>
        <w:tc>
          <w:tcPr>
            <w:tcW w:w="2835" w:type="dxa"/>
            <w:tcBorders>
              <w:top w:val="nil"/>
              <w:left w:val="nil"/>
              <w:bottom w:val="single" w:sz="4" w:space="0" w:color="auto"/>
              <w:right w:val="single" w:sz="4" w:space="0" w:color="auto"/>
            </w:tcBorders>
            <w:shd w:val="clear" w:color="auto" w:fill="auto"/>
            <w:noWrap/>
            <w:vAlign w:val="bottom"/>
            <w:hideMark/>
          </w:tcPr>
          <w:p w14:paraId="398D55A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E1BC7F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D324276"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D22088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nil"/>
              <w:bottom w:val="single" w:sz="4" w:space="0" w:color="auto"/>
              <w:right w:val="single" w:sz="8" w:space="0" w:color="000000"/>
            </w:tcBorders>
            <w:shd w:val="clear" w:color="auto" w:fill="auto"/>
            <w:vAlign w:val="center"/>
            <w:hideMark/>
          </w:tcPr>
          <w:p w14:paraId="2DAE849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Nativní podpora sběru dat z technologií</w:t>
            </w:r>
          </w:p>
        </w:tc>
        <w:tc>
          <w:tcPr>
            <w:tcW w:w="5954" w:type="dxa"/>
            <w:tcBorders>
              <w:top w:val="nil"/>
              <w:left w:val="nil"/>
              <w:bottom w:val="single" w:sz="4" w:space="0" w:color="auto"/>
              <w:right w:val="single" w:sz="4" w:space="0" w:color="auto"/>
            </w:tcBorders>
            <w:shd w:val="clear" w:color="auto" w:fill="auto"/>
            <w:vAlign w:val="center"/>
            <w:hideMark/>
          </w:tcPr>
          <w:p w14:paraId="1B20F191"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VMware</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59E00C4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3451B3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54D9CCF"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C2C59C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2C7DC908"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709611F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Linux</w:t>
            </w:r>
          </w:p>
        </w:tc>
        <w:tc>
          <w:tcPr>
            <w:tcW w:w="2835" w:type="dxa"/>
            <w:tcBorders>
              <w:top w:val="nil"/>
              <w:left w:val="nil"/>
              <w:bottom w:val="single" w:sz="4" w:space="0" w:color="auto"/>
              <w:right w:val="single" w:sz="4" w:space="0" w:color="auto"/>
            </w:tcBorders>
            <w:shd w:val="clear" w:color="auto" w:fill="auto"/>
            <w:noWrap/>
            <w:vAlign w:val="bottom"/>
            <w:hideMark/>
          </w:tcPr>
          <w:p w14:paraId="483C3DA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A16BC9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8A4D970"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D8594A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38A3BFC0"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7D000BE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Windows Server</w:t>
            </w:r>
          </w:p>
        </w:tc>
        <w:tc>
          <w:tcPr>
            <w:tcW w:w="2835" w:type="dxa"/>
            <w:tcBorders>
              <w:top w:val="nil"/>
              <w:left w:val="nil"/>
              <w:bottom w:val="single" w:sz="4" w:space="0" w:color="auto"/>
              <w:right w:val="single" w:sz="4" w:space="0" w:color="auto"/>
            </w:tcBorders>
            <w:shd w:val="clear" w:color="auto" w:fill="auto"/>
            <w:noWrap/>
            <w:vAlign w:val="bottom"/>
            <w:hideMark/>
          </w:tcPr>
          <w:p w14:paraId="05D49C7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8845B0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9FCA534"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736528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4A08479A"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AAFBAE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Microsoft SQL</w:t>
            </w:r>
          </w:p>
        </w:tc>
        <w:tc>
          <w:tcPr>
            <w:tcW w:w="2835" w:type="dxa"/>
            <w:tcBorders>
              <w:top w:val="nil"/>
              <w:left w:val="nil"/>
              <w:bottom w:val="single" w:sz="4" w:space="0" w:color="auto"/>
              <w:right w:val="single" w:sz="4" w:space="0" w:color="auto"/>
            </w:tcBorders>
            <w:shd w:val="clear" w:color="auto" w:fill="auto"/>
            <w:noWrap/>
            <w:vAlign w:val="bottom"/>
            <w:hideMark/>
          </w:tcPr>
          <w:p w14:paraId="02A1451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FE39CA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B18C350"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C5AAF3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4E004CA2"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7C88CE8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Cisco a HP firewally, přepínače</w:t>
            </w:r>
          </w:p>
        </w:tc>
        <w:tc>
          <w:tcPr>
            <w:tcW w:w="2835" w:type="dxa"/>
            <w:tcBorders>
              <w:top w:val="nil"/>
              <w:left w:val="nil"/>
              <w:bottom w:val="single" w:sz="4" w:space="0" w:color="auto"/>
              <w:right w:val="single" w:sz="4" w:space="0" w:color="auto"/>
            </w:tcBorders>
            <w:shd w:val="clear" w:color="auto" w:fill="auto"/>
            <w:noWrap/>
            <w:vAlign w:val="bottom"/>
            <w:hideMark/>
          </w:tcPr>
          <w:p w14:paraId="2767C53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304D2D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4E569F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009CC0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12E4D4AE"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FBFCA29"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Fortinet</w:t>
            </w:r>
            <w:proofErr w:type="spellEnd"/>
            <w:r w:rsidRPr="008D4FC8">
              <w:rPr>
                <w:rFonts w:ascii="Calibri" w:eastAsia="Times New Roman" w:hAnsi="Calibri"/>
                <w:color w:val="000000"/>
                <w:sz w:val="16"/>
                <w:szCs w:val="16"/>
                <w:lang w:eastAsia="cs-CZ"/>
              </w:rPr>
              <w:t xml:space="preserve"> firewally</w:t>
            </w:r>
          </w:p>
        </w:tc>
        <w:tc>
          <w:tcPr>
            <w:tcW w:w="2835" w:type="dxa"/>
            <w:tcBorders>
              <w:top w:val="nil"/>
              <w:left w:val="nil"/>
              <w:bottom w:val="single" w:sz="4" w:space="0" w:color="auto"/>
              <w:right w:val="single" w:sz="4" w:space="0" w:color="auto"/>
            </w:tcBorders>
            <w:shd w:val="clear" w:color="auto" w:fill="auto"/>
            <w:noWrap/>
            <w:vAlign w:val="bottom"/>
            <w:hideMark/>
          </w:tcPr>
          <w:p w14:paraId="2BBB822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37D9C6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AE178B4"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01F071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015EE4F5"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0822CF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Microsoft Exchange, SQL, IIS</w:t>
            </w:r>
          </w:p>
        </w:tc>
        <w:tc>
          <w:tcPr>
            <w:tcW w:w="2835" w:type="dxa"/>
            <w:tcBorders>
              <w:top w:val="nil"/>
              <w:left w:val="nil"/>
              <w:bottom w:val="single" w:sz="4" w:space="0" w:color="auto"/>
              <w:right w:val="single" w:sz="4" w:space="0" w:color="auto"/>
            </w:tcBorders>
            <w:shd w:val="clear" w:color="auto" w:fill="auto"/>
            <w:noWrap/>
            <w:vAlign w:val="bottom"/>
            <w:hideMark/>
          </w:tcPr>
          <w:p w14:paraId="0D03249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CA0AB8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825E59A" w14:textId="77777777" w:rsidTr="008D4FC8">
        <w:trPr>
          <w:trHeight w:val="225"/>
        </w:trPr>
        <w:tc>
          <w:tcPr>
            <w:tcW w:w="1124" w:type="dxa"/>
            <w:vMerge/>
            <w:tcBorders>
              <w:top w:val="nil"/>
              <w:left w:val="single" w:sz="8" w:space="0" w:color="auto"/>
              <w:bottom w:val="single" w:sz="8" w:space="0" w:color="000000"/>
              <w:right w:val="single" w:sz="8" w:space="0" w:color="auto"/>
            </w:tcBorders>
            <w:vAlign w:val="center"/>
            <w:hideMark/>
          </w:tcPr>
          <w:p w14:paraId="46E06FF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nil"/>
              <w:bottom w:val="single" w:sz="4" w:space="0" w:color="auto"/>
              <w:right w:val="single" w:sz="8" w:space="0" w:color="000000"/>
            </w:tcBorders>
            <w:shd w:val="clear" w:color="auto" w:fill="auto"/>
            <w:vAlign w:val="center"/>
            <w:hideMark/>
          </w:tcPr>
          <w:p w14:paraId="2B339FF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Zpracování dat</w:t>
            </w:r>
          </w:p>
        </w:tc>
        <w:tc>
          <w:tcPr>
            <w:tcW w:w="5954" w:type="dxa"/>
            <w:tcBorders>
              <w:top w:val="nil"/>
              <w:left w:val="nil"/>
              <w:bottom w:val="single" w:sz="4" w:space="0" w:color="auto"/>
              <w:right w:val="single" w:sz="4" w:space="0" w:color="auto"/>
            </w:tcBorders>
            <w:shd w:val="clear" w:color="auto" w:fill="auto"/>
            <w:vAlign w:val="center"/>
            <w:hideMark/>
          </w:tcPr>
          <w:p w14:paraId="768C5C4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Online sledování v reálném čase</w:t>
            </w:r>
          </w:p>
        </w:tc>
        <w:tc>
          <w:tcPr>
            <w:tcW w:w="2835" w:type="dxa"/>
            <w:tcBorders>
              <w:top w:val="nil"/>
              <w:left w:val="nil"/>
              <w:bottom w:val="single" w:sz="4" w:space="0" w:color="auto"/>
              <w:right w:val="single" w:sz="4" w:space="0" w:color="auto"/>
            </w:tcBorders>
            <w:shd w:val="clear" w:color="auto" w:fill="auto"/>
            <w:noWrap/>
            <w:vAlign w:val="bottom"/>
            <w:hideMark/>
          </w:tcPr>
          <w:p w14:paraId="01BE288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725972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774AA37"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0E63BB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7B8D64D8"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bottom"/>
            <w:hideMark/>
          </w:tcPr>
          <w:p w14:paraId="7A62A75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Autentizace do GUI systémy RADIUS, </w:t>
            </w:r>
            <w:proofErr w:type="spellStart"/>
            <w:r w:rsidRPr="008D4FC8">
              <w:rPr>
                <w:rFonts w:ascii="Calibri" w:eastAsia="Times New Roman" w:hAnsi="Calibri"/>
                <w:color w:val="000000"/>
                <w:sz w:val="16"/>
                <w:szCs w:val="16"/>
                <w:lang w:eastAsia="cs-CZ"/>
              </w:rPr>
              <w:t>Active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Directory</w:t>
            </w:r>
            <w:proofErr w:type="spellEnd"/>
            <w:r w:rsidRPr="008D4FC8">
              <w:rPr>
                <w:rFonts w:ascii="Calibri" w:eastAsia="Times New Roman" w:hAnsi="Calibri"/>
                <w:color w:val="000000"/>
                <w:sz w:val="16"/>
                <w:szCs w:val="16"/>
                <w:lang w:eastAsia="cs-CZ"/>
              </w:rPr>
              <w:t>, LDAP nebo lokálním uživatelem</w:t>
            </w:r>
          </w:p>
        </w:tc>
        <w:tc>
          <w:tcPr>
            <w:tcW w:w="2835" w:type="dxa"/>
            <w:tcBorders>
              <w:top w:val="nil"/>
              <w:left w:val="nil"/>
              <w:bottom w:val="single" w:sz="4" w:space="0" w:color="auto"/>
              <w:right w:val="single" w:sz="4" w:space="0" w:color="auto"/>
            </w:tcBorders>
            <w:shd w:val="clear" w:color="auto" w:fill="auto"/>
            <w:noWrap/>
            <w:vAlign w:val="bottom"/>
            <w:hideMark/>
          </w:tcPr>
          <w:p w14:paraId="35BB35A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A075C8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933C3CC" w14:textId="77777777" w:rsidTr="008D4FC8">
        <w:trPr>
          <w:trHeight w:val="1350"/>
        </w:trPr>
        <w:tc>
          <w:tcPr>
            <w:tcW w:w="1124" w:type="dxa"/>
            <w:vMerge/>
            <w:tcBorders>
              <w:top w:val="nil"/>
              <w:left w:val="single" w:sz="8" w:space="0" w:color="auto"/>
              <w:bottom w:val="single" w:sz="8" w:space="0" w:color="000000"/>
              <w:right w:val="single" w:sz="8" w:space="0" w:color="auto"/>
            </w:tcBorders>
            <w:vAlign w:val="center"/>
            <w:hideMark/>
          </w:tcPr>
          <w:p w14:paraId="11B2C24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11D48793"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161BB1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Systém pro korelaci událostí musí umožňovat vyhodnocení min podle:</w:t>
            </w:r>
            <w:r w:rsidRPr="008D4FC8">
              <w:rPr>
                <w:rFonts w:ascii="Calibri" w:eastAsia="Times New Roman" w:hAnsi="Calibri"/>
                <w:color w:val="000000"/>
                <w:sz w:val="16"/>
                <w:szCs w:val="16"/>
                <w:lang w:eastAsia="cs-CZ"/>
              </w:rPr>
              <w:br/>
              <w:t>• Posloupnosti událostí (striktně definuje, v jakém pořadí musí události dorazit, aby bylo uplatněno korelační pravidlo)</w:t>
            </w:r>
            <w:r w:rsidRPr="008D4FC8">
              <w:rPr>
                <w:rFonts w:ascii="Calibri" w:eastAsia="Times New Roman" w:hAnsi="Calibri"/>
                <w:color w:val="000000"/>
                <w:sz w:val="16"/>
                <w:szCs w:val="16"/>
                <w:lang w:eastAsia="cs-CZ"/>
              </w:rPr>
              <w:br/>
              <w:t>• Podmínek mezi více událostmi</w:t>
            </w:r>
            <w:r w:rsidRPr="008D4FC8">
              <w:rPr>
                <w:rFonts w:ascii="Calibri" w:eastAsia="Times New Roman" w:hAnsi="Calibri"/>
                <w:color w:val="000000"/>
                <w:sz w:val="16"/>
                <w:szCs w:val="16"/>
                <w:lang w:eastAsia="cs-CZ"/>
              </w:rPr>
              <w:br/>
              <w:t>• Limitu na počet událostí</w:t>
            </w:r>
            <w:r w:rsidRPr="008D4FC8">
              <w:rPr>
                <w:rFonts w:ascii="Calibri" w:eastAsia="Times New Roman" w:hAnsi="Calibri"/>
                <w:color w:val="000000"/>
                <w:sz w:val="16"/>
                <w:szCs w:val="16"/>
                <w:lang w:eastAsia="cs-CZ"/>
              </w:rPr>
              <w:br/>
              <w:t>• Reputace IP (databáze poskytované výrobcem nebo uznávanou autoritou)</w:t>
            </w:r>
          </w:p>
        </w:tc>
        <w:tc>
          <w:tcPr>
            <w:tcW w:w="2835" w:type="dxa"/>
            <w:tcBorders>
              <w:top w:val="nil"/>
              <w:left w:val="nil"/>
              <w:bottom w:val="single" w:sz="4" w:space="0" w:color="auto"/>
              <w:right w:val="single" w:sz="4" w:space="0" w:color="auto"/>
            </w:tcBorders>
            <w:shd w:val="clear" w:color="auto" w:fill="auto"/>
            <w:noWrap/>
            <w:vAlign w:val="bottom"/>
            <w:hideMark/>
          </w:tcPr>
          <w:p w14:paraId="3D532D0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AF3774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D67F0F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1EB3D4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7899BFC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D5F14F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Lokální agent pro běžné operační systémy, komunikace se SIEM systémem musí být šifrovaná a komprimovaná</w:t>
            </w:r>
          </w:p>
        </w:tc>
        <w:tc>
          <w:tcPr>
            <w:tcW w:w="2835" w:type="dxa"/>
            <w:tcBorders>
              <w:top w:val="nil"/>
              <w:left w:val="nil"/>
              <w:bottom w:val="single" w:sz="4" w:space="0" w:color="auto"/>
              <w:right w:val="single" w:sz="4" w:space="0" w:color="auto"/>
            </w:tcBorders>
            <w:shd w:val="clear" w:color="auto" w:fill="auto"/>
            <w:noWrap/>
            <w:vAlign w:val="bottom"/>
            <w:hideMark/>
          </w:tcPr>
          <w:p w14:paraId="03B4930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178ABE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DD01B29"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2794467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7E5F298D"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3C9F18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Korelace na základě času, časového intervalu, uživatele, skupiny, aplikace, serveru ,sítě nebo jiné korelované události</w:t>
            </w:r>
          </w:p>
        </w:tc>
        <w:tc>
          <w:tcPr>
            <w:tcW w:w="2835" w:type="dxa"/>
            <w:tcBorders>
              <w:top w:val="nil"/>
              <w:left w:val="nil"/>
              <w:bottom w:val="single" w:sz="4" w:space="0" w:color="auto"/>
              <w:right w:val="single" w:sz="4" w:space="0" w:color="auto"/>
            </w:tcBorders>
            <w:shd w:val="clear" w:color="auto" w:fill="auto"/>
            <w:noWrap/>
            <w:vAlign w:val="bottom"/>
            <w:hideMark/>
          </w:tcPr>
          <w:p w14:paraId="1543595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3C7A9F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1042B31"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3AEB0B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7FBF0904"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5EC9CDC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Možnost automatické tvorby interaktivní mapy sítě včetně propojení portů. Podpora protokolů LLDP, STP, CDP</w:t>
            </w:r>
          </w:p>
        </w:tc>
        <w:tc>
          <w:tcPr>
            <w:tcW w:w="2835" w:type="dxa"/>
            <w:tcBorders>
              <w:top w:val="nil"/>
              <w:left w:val="nil"/>
              <w:bottom w:val="single" w:sz="4" w:space="0" w:color="auto"/>
              <w:right w:val="single" w:sz="4" w:space="0" w:color="auto"/>
            </w:tcBorders>
            <w:shd w:val="clear" w:color="auto" w:fill="auto"/>
            <w:noWrap/>
            <w:vAlign w:val="bottom"/>
            <w:hideMark/>
          </w:tcPr>
          <w:p w14:paraId="7EE8E1F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731151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CD061A4"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7F9C3F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23E02B1C"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9E28A1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Obohacování informací z logů o doplňující údaje z číselníků (Data </w:t>
            </w:r>
            <w:proofErr w:type="spellStart"/>
            <w:r w:rsidRPr="008D4FC8">
              <w:rPr>
                <w:rFonts w:ascii="Calibri" w:eastAsia="Times New Roman" w:hAnsi="Calibri"/>
                <w:color w:val="000000"/>
                <w:sz w:val="16"/>
                <w:szCs w:val="16"/>
                <w:lang w:eastAsia="cs-CZ"/>
              </w:rPr>
              <w:t>Enrichment</w:t>
            </w:r>
            <w:proofErr w:type="spellEnd"/>
            <w:r w:rsidRPr="008D4FC8">
              <w:rPr>
                <w:rFonts w:ascii="Calibri" w:eastAsia="Times New Roman" w:hAnsi="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noWrap/>
            <w:vAlign w:val="bottom"/>
            <w:hideMark/>
          </w:tcPr>
          <w:p w14:paraId="32D97C8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C8B733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FCAF870"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113ECE2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3177BEDB"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59E1A7B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Zdroje pro Data </w:t>
            </w:r>
            <w:proofErr w:type="spellStart"/>
            <w:r w:rsidRPr="008D4FC8">
              <w:rPr>
                <w:rFonts w:ascii="Calibri" w:eastAsia="Times New Roman" w:hAnsi="Calibri"/>
                <w:color w:val="000000"/>
                <w:sz w:val="16"/>
                <w:szCs w:val="16"/>
                <w:lang w:eastAsia="cs-CZ"/>
              </w:rPr>
              <w:t>Enrichment</w:t>
            </w:r>
            <w:proofErr w:type="spellEnd"/>
            <w:r w:rsidRPr="008D4FC8">
              <w:rPr>
                <w:rFonts w:ascii="Calibri" w:eastAsia="Times New Roman" w:hAnsi="Calibri"/>
                <w:color w:val="000000"/>
                <w:sz w:val="16"/>
                <w:szCs w:val="16"/>
                <w:lang w:eastAsia="cs-CZ"/>
              </w:rPr>
              <w:t xml:space="preserve"> - Strukturovaný soubor dostupný pomocí </w:t>
            </w:r>
            <w:proofErr w:type="spellStart"/>
            <w:r w:rsidRPr="008D4FC8">
              <w:rPr>
                <w:rFonts w:ascii="Calibri" w:eastAsia="Times New Roman" w:hAnsi="Calibri"/>
                <w:color w:val="000000"/>
                <w:sz w:val="16"/>
                <w:szCs w:val="16"/>
                <w:lang w:eastAsia="cs-CZ"/>
              </w:rPr>
              <w:t>cifs</w:t>
            </w:r>
            <w:proofErr w:type="spellEnd"/>
            <w:r w:rsidRPr="008D4FC8">
              <w:rPr>
                <w:rFonts w:ascii="Calibri" w:eastAsia="Times New Roman" w:hAnsi="Calibri"/>
                <w:color w:val="000000"/>
                <w:sz w:val="16"/>
                <w:szCs w:val="16"/>
                <w:lang w:eastAsia="cs-CZ"/>
              </w:rPr>
              <w:t xml:space="preserve">, http, </w:t>
            </w:r>
            <w:proofErr w:type="spellStart"/>
            <w:r w:rsidRPr="008D4FC8">
              <w:rPr>
                <w:rFonts w:ascii="Calibri" w:eastAsia="Times New Roman" w:hAnsi="Calibri"/>
                <w:color w:val="000000"/>
                <w:sz w:val="16"/>
                <w:szCs w:val="16"/>
                <w:lang w:eastAsia="cs-CZ"/>
              </w:rPr>
              <w:t>ftp</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nfs</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scp</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sftp</w:t>
            </w:r>
            <w:proofErr w:type="spellEnd"/>
            <w:r w:rsidRPr="008D4FC8">
              <w:rPr>
                <w:rFonts w:ascii="Calibri" w:eastAsia="Times New Roman" w:hAnsi="Calibri"/>
                <w:color w:val="000000"/>
                <w:sz w:val="16"/>
                <w:szCs w:val="16"/>
                <w:lang w:eastAsia="cs-CZ"/>
              </w:rPr>
              <w:t xml:space="preserve">, LDAP, MS SQL, </w:t>
            </w:r>
            <w:proofErr w:type="spellStart"/>
            <w:r w:rsidRPr="008D4FC8">
              <w:rPr>
                <w:rFonts w:ascii="Calibri" w:eastAsia="Times New Roman" w:hAnsi="Calibri"/>
                <w:color w:val="000000"/>
                <w:sz w:val="16"/>
                <w:szCs w:val="16"/>
                <w:lang w:eastAsia="cs-CZ"/>
              </w:rPr>
              <w:t>MySQL</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Oracle</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40EC986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F9FC81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2C67A27"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8A9A65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4F606181"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F89674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Systém musí umožňovat definici vlastního </w:t>
            </w:r>
            <w:proofErr w:type="spellStart"/>
            <w:r w:rsidRPr="008D4FC8">
              <w:rPr>
                <w:rFonts w:ascii="Calibri" w:eastAsia="Times New Roman" w:hAnsi="Calibri"/>
                <w:color w:val="000000"/>
                <w:sz w:val="16"/>
                <w:szCs w:val="16"/>
                <w:lang w:eastAsia="cs-CZ"/>
              </w:rPr>
              <w:t>parseru</w:t>
            </w:r>
            <w:proofErr w:type="spellEnd"/>
            <w:r w:rsidRPr="008D4FC8">
              <w:rPr>
                <w:rFonts w:ascii="Calibri" w:eastAsia="Times New Roman" w:hAnsi="Calibri"/>
                <w:color w:val="000000"/>
                <w:sz w:val="16"/>
                <w:szCs w:val="16"/>
                <w:lang w:eastAsia="cs-CZ"/>
              </w:rPr>
              <w:t xml:space="preserve"> pro jednotlivé zdroje logů v grafickém prostředí</w:t>
            </w:r>
          </w:p>
        </w:tc>
        <w:tc>
          <w:tcPr>
            <w:tcW w:w="2835" w:type="dxa"/>
            <w:tcBorders>
              <w:top w:val="nil"/>
              <w:left w:val="nil"/>
              <w:bottom w:val="single" w:sz="4" w:space="0" w:color="auto"/>
              <w:right w:val="single" w:sz="4" w:space="0" w:color="auto"/>
            </w:tcBorders>
            <w:shd w:val="clear" w:color="auto" w:fill="auto"/>
            <w:noWrap/>
            <w:vAlign w:val="bottom"/>
            <w:hideMark/>
          </w:tcPr>
          <w:p w14:paraId="154C11B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24F99A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78AFBB9"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34905E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53736F2A"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E7C83C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Notifikace vyhodnocených incidentů prostřednictvím email, </w:t>
            </w:r>
            <w:proofErr w:type="spellStart"/>
            <w:r w:rsidRPr="008D4FC8">
              <w:rPr>
                <w:rFonts w:ascii="Calibri" w:eastAsia="Times New Roman" w:hAnsi="Calibri"/>
                <w:color w:val="000000"/>
                <w:sz w:val="16"/>
                <w:szCs w:val="16"/>
                <w:lang w:eastAsia="cs-CZ"/>
              </w:rPr>
              <w:t>syslog</w:t>
            </w:r>
            <w:proofErr w:type="spellEnd"/>
            <w:r w:rsidRPr="008D4FC8">
              <w:rPr>
                <w:rFonts w:ascii="Calibri" w:eastAsia="Times New Roman" w:hAnsi="Calibri"/>
                <w:color w:val="000000"/>
                <w:sz w:val="16"/>
                <w:szCs w:val="16"/>
                <w:lang w:eastAsia="cs-CZ"/>
              </w:rPr>
              <w:t>, SNMP trap</w:t>
            </w:r>
          </w:p>
        </w:tc>
        <w:tc>
          <w:tcPr>
            <w:tcW w:w="2835" w:type="dxa"/>
            <w:tcBorders>
              <w:top w:val="nil"/>
              <w:left w:val="nil"/>
              <w:bottom w:val="single" w:sz="4" w:space="0" w:color="auto"/>
              <w:right w:val="single" w:sz="4" w:space="0" w:color="auto"/>
            </w:tcBorders>
            <w:shd w:val="clear" w:color="auto" w:fill="auto"/>
            <w:noWrap/>
            <w:vAlign w:val="bottom"/>
            <w:hideMark/>
          </w:tcPr>
          <w:p w14:paraId="59D8949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4C8D47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5900B74"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9E7A7A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4718458E"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9312AF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Možnost spuštění uživatelsky definované akce v závislosti na vyhodnoceném </w:t>
            </w:r>
            <w:proofErr w:type="spellStart"/>
            <w:r w:rsidRPr="008D4FC8">
              <w:rPr>
                <w:rFonts w:ascii="Calibri" w:eastAsia="Times New Roman" w:hAnsi="Calibri"/>
                <w:color w:val="000000"/>
                <w:sz w:val="16"/>
                <w:szCs w:val="16"/>
                <w:lang w:eastAsia="cs-CZ"/>
              </w:rPr>
              <w:t>alertu</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3E48DE3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C81406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0A7CC5C" w14:textId="77777777" w:rsidTr="008D4FC8">
        <w:trPr>
          <w:trHeight w:val="675"/>
        </w:trPr>
        <w:tc>
          <w:tcPr>
            <w:tcW w:w="1124" w:type="dxa"/>
            <w:vMerge/>
            <w:tcBorders>
              <w:top w:val="nil"/>
              <w:left w:val="single" w:sz="8" w:space="0" w:color="auto"/>
              <w:bottom w:val="single" w:sz="8" w:space="0" w:color="000000"/>
              <w:right w:val="single" w:sz="8" w:space="0" w:color="auto"/>
            </w:tcBorders>
            <w:vAlign w:val="center"/>
            <w:hideMark/>
          </w:tcPr>
          <w:p w14:paraId="121433C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2C138D4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51F757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Systém pro správu vyhodnocených incidentů (interní </w:t>
            </w:r>
            <w:proofErr w:type="spellStart"/>
            <w:r w:rsidRPr="008D4FC8">
              <w:rPr>
                <w:rFonts w:ascii="Calibri" w:eastAsia="Times New Roman" w:hAnsi="Calibri"/>
                <w:color w:val="000000"/>
                <w:sz w:val="16"/>
                <w:szCs w:val="16"/>
                <w:lang w:eastAsia="cs-CZ"/>
              </w:rPr>
              <w:t>helpdesk</w:t>
            </w:r>
            <w:proofErr w:type="spellEnd"/>
            <w:r w:rsidRPr="008D4FC8">
              <w:rPr>
                <w:rFonts w:ascii="Calibri" w:eastAsia="Times New Roman" w:hAnsi="Calibri"/>
                <w:color w:val="000000"/>
                <w:sz w:val="16"/>
                <w:szCs w:val="16"/>
                <w:lang w:eastAsia="cs-CZ"/>
              </w:rPr>
              <w:t>), který umožňuje přiřazovat (automaticky nebo manuálně) definované události k řešení jednotlivým osobám a v případě jejich nevyřešení po definovanou dobu je eskalovat na další osobu.</w:t>
            </w:r>
          </w:p>
        </w:tc>
        <w:tc>
          <w:tcPr>
            <w:tcW w:w="2835" w:type="dxa"/>
            <w:tcBorders>
              <w:top w:val="nil"/>
              <w:left w:val="nil"/>
              <w:bottom w:val="single" w:sz="4" w:space="0" w:color="auto"/>
              <w:right w:val="single" w:sz="4" w:space="0" w:color="auto"/>
            </w:tcBorders>
            <w:shd w:val="clear" w:color="auto" w:fill="auto"/>
            <w:noWrap/>
            <w:vAlign w:val="bottom"/>
            <w:hideMark/>
          </w:tcPr>
          <w:p w14:paraId="22E9670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F22AF3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B5451FC"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6057AC1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1E71601F"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7E814B7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Automaticky stahování aktualizovaných reputačních dat (míra nebezpečnosti chování) o internetových IP adresách využitelná v systému při zpracování událostí.</w:t>
            </w:r>
          </w:p>
        </w:tc>
        <w:tc>
          <w:tcPr>
            <w:tcW w:w="2835" w:type="dxa"/>
            <w:tcBorders>
              <w:top w:val="nil"/>
              <w:left w:val="nil"/>
              <w:bottom w:val="single" w:sz="4" w:space="0" w:color="auto"/>
              <w:right w:val="single" w:sz="4" w:space="0" w:color="auto"/>
            </w:tcBorders>
            <w:shd w:val="clear" w:color="auto" w:fill="auto"/>
            <w:noWrap/>
            <w:vAlign w:val="bottom"/>
            <w:hideMark/>
          </w:tcPr>
          <w:p w14:paraId="41391C0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6F40AE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46BEFD0"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CD9FE4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21FB9E97"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4CFFC951" w14:textId="209A6533" w:rsidR="008D4FC8" w:rsidRPr="008D4FC8" w:rsidRDefault="008D4FC8" w:rsidP="00134EBC">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Možnost využití výsledků </w:t>
            </w:r>
            <w:proofErr w:type="spellStart"/>
            <w:r w:rsidRPr="008D4FC8">
              <w:rPr>
                <w:rFonts w:ascii="Calibri" w:eastAsia="Times New Roman" w:hAnsi="Calibri"/>
                <w:color w:val="000000"/>
                <w:sz w:val="16"/>
                <w:szCs w:val="16"/>
                <w:lang w:eastAsia="cs-CZ"/>
              </w:rPr>
              <w:t>skenu</w:t>
            </w:r>
            <w:proofErr w:type="spellEnd"/>
            <w:r w:rsidRPr="008D4FC8">
              <w:rPr>
                <w:rFonts w:ascii="Calibri" w:eastAsia="Times New Roman" w:hAnsi="Calibri"/>
                <w:color w:val="000000"/>
                <w:sz w:val="16"/>
                <w:szCs w:val="16"/>
                <w:lang w:eastAsia="cs-CZ"/>
              </w:rPr>
              <w:t xml:space="preserve"> zranitelností z  </w:t>
            </w:r>
            <w:proofErr w:type="spellStart"/>
            <w:r w:rsidRPr="008D4FC8">
              <w:rPr>
                <w:rFonts w:ascii="Calibri" w:eastAsia="Times New Roman" w:hAnsi="Calibri"/>
                <w:color w:val="000000"/>
                <w:sz w:val="16"/>
                <w:szCs w:val="16"/>
                <w:lang w:eastAsia="cs-CZ"/>
              </w:rPr>
              <w:t>Nessus</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Qualys</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nCircle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OpenVAS</w:t>
            </w:r>
            <w:proofErr w:type="spellEnd"/>
            <w:r w:rsidRPr="008D4FC8">
              <w:rPr>
                <w:rFonts w:ascii="Calibri" w:eastAsia="Times New Roman" w:hAnsi="Calibri"/>
                <w:color w:val="000000"/>
                <w:sz w:val="16"/>
                <w:szCs w:val="16"/>
                <w:lang w:eastAsia="cs-CZ"/>
              </w:rPr>
              <w:t xml:space="preserve">, Rapid7, </w:t>
            </w:r>
            <w:proofErr w:type="spellStart"/>
            <w:r w:rsidRPr="008D4FC8">
              <w:rPr>
                <w:rFonts w:ascii="Calibri" w:eastAsia="Times New Roman" w:hAnsi="Calibri"/>
                <w:color w:val="000000"/>
                <w:sz w:val="16"/>
                <w:szCs w:val="16"/>
                <w:lang w:eastAsia="cs-CZ"/>
              </w:rPr>
              <w:t>Lumension</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LanGuard</w:t>
            </w:r>
            <w:proofErr w:type="spellEnd"/>
            <w:r w:rsidRPr="008D4FC8">
              <w:rPr>
                <w:rFonts w:ascii="Calibri" w:eastAsia="Times New Roman" w:hAnsi="Calibri"/>
                <w:color w:val="000000"/>
                <w:sz w:val="16"/>
                <w:szCs w:val="16"/>
                <w:lang w:eastAsia="cs-CZ"/>
              </w:rPr>
              <w:t xml:space="preserve"> </w:t>
            </w:r>
          </w:p>
        </w:tc>
        <w:tc>
          <w:tcPr>
            <w:tcW w:w="2835" w:type="dxa"/>
            <w:tcBorders>
              <w:top w:val="nil"/>
              <w:left w:val="nil"/>
              <w:bottom w:val="single" w:sz="4" w:space="0" w:color="auto"/>
              <w:right w:val="single" w:sz="4" w:space="0" w:color="auto"/>
            </w:tcBorders>
            <w:shd w:val="clear" w:color="auto" w:fill="auto"/>
            <w:noWrap/>
            <w:vAlign w:val="bottom"/>
            <w:hideMark/>
          </w:tcPr>
          <w:p w14:paraId="0BDB06B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C9C54B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65627AB"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7BDBE2E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3D9C26FC"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A90699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Šablony reportů odpovídající požadavkům  PCI DSS, HIPAA, NERC-CIP, FISMA, GLBA, SOX, ISO 2700x, možnost tvorby vlastních</w:t>
            </w:r>
          </w:p>
        </w:tc>
        <w:tc>
          <w:tcPr>
            <w:tcW w:w="2835" w:type="dxa"/>
            <w:tcBorders>
              <w:top w:val="nil"/>
              <w:left w:val="nil"/>
              <w:bottom w:val="single" w:sz="4" w:space="0" w:color="auto"/>
              <w:right w:val="single" w:sz="4" w:space="0" w:color="auto"/>
            </w:tcBorders>
            <w:shd w:val="clear" w:color="auto" w:fill="auto"/>
            <w:noWrap/>
            <w:vAlign w:val="bottom"/>
            <w:hideMark/>
          </w:tcPr>
          <w:p w14:paraId="012F89B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7C4073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8ECEA6D"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23CAA2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2C590A17"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EE4DF5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Tvorba uživatelských </w:t>
            </w:r>
            <w:proofErr w:type="spellStart"/>
            <w:r w:rsidRPr="008D4FC8">
              <w:rPr>
                <w:rFonts w:ascii="Calibri" w:eastAsia="Times New Roman" w:hAnsi="Calibri"/>
                <w:color w:val="000000"/>
                <w:sz w:val="16"/>
                <w:szCs w:val="16"/>
                <w:lang w:eastAsia="cs-CZ"/>
              </w:rPr>
              <w:t>dashboardů</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14:paraId="5D599F7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24695C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F9B045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3EA507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3F1D71E5"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67A72C6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Tvorba uživatelských šablon reportů</w:t>
            </w:r>
          </w:p>
        </w:tc>
        <w:tc>
          <w:tcPr>
            <w:tcW w:w="2835" w:type="dxa"/>
            <w:tcBorders>
              <w:top w:val="nil"/>
              <w:left w:val="nil"/>
              <w:bottom w:val="single" w:sz="4" w:space="0" w:color="auto"/>
              <w:right w:val="single" w:sz="4" w:space="0" w:color="auto"/>
            </w:tcBorders>
            <w:shd w:val="clear" w:color="auto" w:fill="auto"/>
            <w:noWrap/>
            <w:vAlign w:val="bottom"/>
            <w:hideMark/>
          </w:tcPr>
          <w:p w14:paraId="135FD0A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DD3561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44CA2E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901DF0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67D631E9"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1F45A91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Export a import </w:t>
            </w:r>
            <w:proofErr w:type="spellStart"/>
            <w:r w:rsidRPr="008D4FC8">
              <w:rPr>
                <w:rFonts w:ascii="Calibri" w:eastAsia="Times New Roman" w:hAnsi="Calibri"/>
                <w:color w:val="000000"/>
                <w:sz w:val="16"/>
                <w:szCs w:val="16"/>
                <w:lang w:eastAsia="cs-CZ"/>
              </w:rPr>
              <w:t>dashboardů</w:t>
            </w:r>
            <w:proofErr w:type="spellEnd"/>
            <w:r w:rsidRPr="008D4FC8">
              <w:rPr>
                <w:rFonts w:ascii="Calibri" w:eastAsia="Times New Roman" w:hAnsi="Calibri"/>
                <w:color w:val="000000"/>
                <w:sz w:val="16"/>
                <w:szCs w:val="16"/>
                <w:lang w:eastAsia="cs-CZ"/>
              </w:rPr>
              <w:t xml:space="preserve"> a reportů</w:t>
            </w:r>
          </w:p>
        </w:tc>
        <w:tc>
          <w:tcPr>
            <w:tcW w:w="2835" w:type="dxa"/>
            <w:tcBorders>
              <w:top w:val="nil"/>
              <w:left w:val="nil"/>
              <w:bottom w:val="single" w:sz="4" w:space="0" w:color="auto"/>
              <w:right w:val="single" w:sz="4" w:space="0" w:color="auto"/>
            </w:tcBorders>
            <w:shd w:val="clear" w:color="auto" w:fill="auto"/>
            <w:noWrap/>
            <w:vAlign w:val="bottom"/>
            <w:hideMark/>
          </w:tcPr>
          <w:p w14:paraId="4E748AF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8049EC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A4097FA"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B11FA2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nil"/>
              <w:bottom w:val="single" w:sz="4" w:space="0" w:color="auto"/>
              <w:right w:val="single" w:sz="8" w:space="0" w:color="000000"/>
            </w:tcBorders>
            <w:shd w:val="clear" w:color="auto" w:fill="auto"/>
            <w:vAlign w:val="center"/>
            <w:hideMark/>
          </w:tcPr>
          <w:p w14:paraId="5BB7085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Archivace dat</w:t>
            </w:r>
          </w:p>
        </w:tc>
        <w:tc>
          <w:tcPr>
            <w:tcW w:w="5954" w:type="dxa"/>
            <w:tcBorders>
              <w:top w:val="nil"/>
              <w:left w:val="nil"/>
              <w:bottom w:val="single" w:sz="4" w:space="0" w:color="auto"/>
              <w:right w:val="single" w:sz="4" w:space="0" w:color="auto"/>
            </w:tcBorders>
            <w:shd w:val="clear" w:color="auto" w:fill="auto"/>
            <w:vAlign w:val="bottom"/>
            <w:hideMark/>
          </w:tcPr>
          <w:p w14:paraId="17C76E0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Archivace konfigurace vybraných síťových prvků a následná možnost vyhodnocení změny</w:t>
            </w:r>
          </w:p>
        </w:tc>
        <w:tc>
          <w:tcPr>
            <w:tcW w:w="2835" w:type="dxa"/>
            <w:tcBorders>
              <w:top w:val="nil"/>
              <w:left w:val="nil"/>
              <w:bottom w:val="single" w:sz="4" w:space="0" w:color="auto"/>
              <w:right w:val="single" w:sz="4" w:space="0" w:color="auto"/>
            </w:tcBorders>
            <w:shd w:val="clear" w:color="auto" w:fill="auto"/>
            <w:noWrap/>
            <w:vAlign w:val="bottom"/>
            <w:hideMark/>
          </w:tcPr>
          <w:p w14:paraId="58D4275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DF6A5B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881A6B4"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B132FA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2A171D37"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53C885D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Definice retenční doby pro automatický převod dat do archivu v závislosti na zdroji dat</w:t>
            </w:r>
          </w:p>
        </w:tc>
        <w:tc>
          <w:tcPr>
            <w:tcW w:w="2835" w:type="dxa"/>
            <w:tcBorders>
              <w:top w:val="nil"/>
              <w:left w:val="nil"/>
              <w:bottom w:val="single" w:sz="4" w:space="0" w:color="auto"/>
              <w:right w:val="single" w:sz="4" w:space="0" w:color="auto"/>
            </w:tcBorders>
            <w:shd w:val="clear" w:color="auto" w:fill="auto"/>
            <w:noWrap/>
            <w:vAlign w:val="bottom"/>
            <w:hideMark/>
          </w:tcPr>
          <w:p w14:paraId="4EC3988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0BEF31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8A0D770"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0E53B4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1520F92E"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D04050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Podpora </w:t>
            </w:r>
            <w:proofErr w:type="spellStart"/>
            <w:r w:rsidRPr="008D4FC8">
              <w:rPr>
                <w:rFonts w:ascii="Calibri" w:eastAsia="Times New Roman" w:hAnsi="Calibri"/>
                <w:color w:val="000000"/>
                <w:sz w:val="16"/>
                <w:szCs w:val="16"/>
                <w:lang w:eastAsia="cs-CZ"/>
              </w:rPr>
              <w:t>ukladání</w:t>
            </w:r>
            <w:proofErr w:type="spellEnd"/>
            <w:r w:rsidRPr="008D4FC8">
              <w:rPr>
                <w:rFonts w:ascii="Calibri" w:eastAsia="Times New Roman" w:hAnsi="Calibri"/>
                <w:color w:val="000000"/>
                <w:sz w:val="16"/>
                <w:szCs w:val="16"/>
                <w:lang w:eastAsia="cs-CZ"/>
              </w:rPr>
              <w:t xml:space="preserve"> archivních dat na uložiště CIFS,NFS, NAS, SAN</w:t>
            </w:r>
          </w:p>
        </w:tc>
        <w:tc>
          <w:tcPr>
            <w:tcW w:w="2835" w:type="dxa"/>
            <w:tcBorders>
              <w:top w:val="nil"/>
              <w:left w:val="nil"/>
              <w:bottom w:val="single" w:sz="4" w:space="0" w:color="auto"/>
              <w:right w:val="single" w:sz="4" w:space="0" w:color="auto"/>
            </w:tcBorders>
            <w:shd w:val="clear" w:color="auto" w:fill="auto"/>
            <w:noWrap/>
            <w:vAlign w:val="bottom"/>
            <w:hideMark/>
          </w:tcPr>
          <w:p w14:paraId="0E416A3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E94417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06BD859"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D75AFB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56E3CD82"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7C4FEB2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Komprese archivovaných dat</w:t>
            </w:r>
          </w:p>
        </w:tc>
        <w:tc>
          <w:tcPr>
            <w:tcW w:w="2835" w:type="dxa"/>
            <w:tcBorders>
              <w:top w:val="nil"/>
              <w:left w:val="nil"/>
              <w:bottom w:val="single" w:sz="4" w:space="0" w:color="auto"/>
              <w:right w:val="single" w:sz="4" w:space="0" w:color="auto"/>
            </w:tcBorders>
            <w:shd w:val="clear" w:color="auto" w:fill="auto"/>
            <w:noWrap/>
            <w:vAlign w:val="bottom"/>
            <w:hideMark/>
          </w:tcPr>
          <w:p w14:paraId="20FC81A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20762F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32C4D4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457A08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30B63ED9"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5A95E29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Ochrana archivu před neoprávněnou manipulací</w:t>
            </w:r>
          </w:p>
        </w:tc>
        <w:tc>
          <w:tcPr>
            <w:tcW w:w="2835" w:type="dxa"/>
            <w:tcBorders>
              <w:top w:val="nil"/>
              <w:left w:val="nil"/>
              <w:bottom w:val="single" w:sz="4" w:space="0" w:color="auto"/>
              <w:right w:val="single" w:sz="4" w:space="0" w:color="auto"/>
            </w:tcBorders>
            <w:shd w:val="clear" w:color="auto" w:fill="auto"/>
            <w:noWrap/>
            <w:vAlign w:val="bottom"/>
            <w:hideMark/>
          </w:tcPr>
          <w:p w14:paraId="4321EFC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7F87EF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BB5293E"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359DA4C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000000"/>
            </w:tcBorders>
            <w:shd w:val="clear" w:color="auto" w:fill="auto"/>
            <w:vAlign w:val="center"/>
            <w:hideMark/>
          </w:tcPr>
          <w:p w14:paraId="7BC7A6D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Reakce na  vyhodnocené incidenty, </w:t>
            </w:r>
            <w:proofErr w:type="spellStart"/>
            <w:r w:rsidRPr="008D4FC8">
              <w:rPr>
                <w:rFonts w:ascii="Calibri" w:eastAsia="Times New Roman" w:hAnsi="Calibri"/>
                <w:color w:val="000000"/>
                <w:sz w:val="16"/>
                <w:szCs w:val="16"/>
                <w:lang w:eastAsia="cs-CZ"/>
              </w:rPr>
              <w:t>alerty</w:t>
            </w:r>
            <w:proofErr w:type="spellEnd"/>
          </w:p>
        </w:tc>
        <w:tc>
          <w:tcPr>
            <w:tcW w:w="5954" w:type="dxa"/>
            <w:tcBorders>
              <w:top w:val="nil"/>
              <w:left w:val="nil"/>
              <w:bottom w:val="single" w:sz="4" w:space="0" w:color="auto"/>
              <w:right w:val="single" w:sz="4" w:space="0" w:color="auto"/>
            </w:tcBorders>
            <w:shd w:val="clear" w:color="auto" w:fill="auto"/>
            <w:vAlign w:val="center"/>
            <w:hideMark/>
          </w:tcPr>
          <w:p w14:paraId="355918B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email, založení </w:t>
            </w:r>
            <w:proofErr w:type="spellStart"/>
            <w:r w:rsidRPr="008D4FC8">
              <w:rPr>
                <w:rFonts w:ascii="Calibri" w:eastAsia="Times New Roman" w:hAnsi="Calibri"/>
                <w:color w:val="000000"/>
                <w:sz w:val="16"/>
                <w:szCs w:val="16"/>
                <w:lang w:eastAsia="cs-CZ"/>
              </w:rPr>
              <w:t>ticketu</w:t>
            </w:r>
            <w:proofErr w:type="spellEnd"/>
            <w:r w:rsidRPr="008D4FC8">
              <w:rPr>
                <w:rFonts w:ascii="Calibri" w:eastAsia="Times New Roman" w:hAnsi="Calibri"/>
                <w:color w:val="000000"/>
                <w:sz w:val="16"/>
                <w:szCs w:val="16"/>
                <w:lang w:eastAsia="cs-CZ"/>
              </w:rPr>
              <w:t>, zvuková výstraha, spuštění externího skriptu</w:t>
            </w:r>
          </w:p>
        </w:tc>
        <w:tc>
          <w:tcPr>
            <w:tcW w:w="2835" w:type="dxa"/>
            <w:tcBorders>
              <w:top w:val="nil"/>
              <w:left w:val="nil"/>
              <w:bottom w:val="single" w:sz="4" w:space="0" w:color="auto"/>
              <w:right w:val="single" w:sz="4" w:space="0" w:color="auto"/>
            </w:tcBorders>
            <w:shd w:val="clear" w:color="auto" w:fill="auto"/>
            <w:noWrap/>
            <w:vAlign w:val="bottom"/>
            <w:hideMark/>
          </w:tcPr>
          <w:p w14:paraId="361619B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8E6722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DC77000"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FFBED6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000000"/>
            </w:tcBorders>
            <w:shd w:val="clear" w:color="auto" w:fill="auto"/>
            <w:vAlign w:val="center"/>
            <w:hideMark/>
          </w:tcPr>
          <w:p w14:paraId="3ECFD6B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Licencování</w:t>
            </w:r>
          </w:p>
        </w:tc>
        <w:tc>
          <w:tcPr>
            <w:tcW w:w="5954" w:type="dxa"/>
            <w:tcBorders>
              <w:top w:val="nil"/>
              <w:left w:val="nil"/>
              <w:bottom w:val="single" w:sz="4" w:space="0" w:color="auto"/>
              <w:right w:val="single" w:sz="4" w:space="0" w:color="auto"/>
            </w:tcBorders>
            <w:shd w:val="clear" w:color="auto" w:fill="auto"/>
            <w:vAlign w:val="center"/>
            <w:hideMark/>
          </w:tcPr>
          <w:p w14:paraId="466C46A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bez omezení počtu uživatelů a sledovaných zařízení</w:t>
            </w:r>
          </w:p>
        </w:tc>
        <w:tc>
          <w:tcPr>
            <w:tcW w:w="2835" w:type="dxa"/>
            <w:tcBorders>
              <w:top w:val="nil"/>
              <w:left w:val="nil"/>
              <w:bottom w:val="single" w:sz="4" w:space="0" w:color="auto"/>
              <w:right w:val="single" w:sz="4" w:space="0" w:color="auto"/>
            </w:tcBorders>
            <w:shd w:val="clear" w:color="auto" w:fill="auto"/>
            <w:noWrap/>
            <w:vAlign w:val="bottom"/>
            <w:hideMark/>
          </w:tcPr>
          <w:p w14:paraId="42E036C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EA291F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4D98973"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72088B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nil"/>
              <w:bottom w:val="single" w:sz="4" w:space="0" w:color="auto"/>
              <w:right w:val="single" w:sz="8" w:space="0" w:color="000000"/>
            </w:tcBorders>
            <w:shd w:val="clear" w:color="auto" w:fill="auto"/>
            <w:vAlign w:val="center"/>
            <w:hideMark/>
          </w:tcPr>
          <w:p w14:paraId="1629B0B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Rozšiřitelnost</w:t>
            </w:r>
          </w:p>
        </w:tc>
        <w:tc>
          <w:tcPr>
            <w:tcW w:w="5954" w:type="dxa"/>
            <w:tcBorders>
              <w:top w:val="nil"/>
              <w:left w:val="nil"/>
              <w:bottom w:val="single" w:sz="4" w:space="0" w:color="auto"/>
              <w:right w:val="single" w:sz="4" w:space="0" w:color="auto"/>
            </w:tcBorders>
            <w:shd w:val="clear" w:color="auto" w:fill="auto"/>
            <w:vAlign w:val="center"/>
            <w:hideMark/>
          </w:tcPr>
          <w:p w14:paraId="586D4D5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Podpora a otevřenost pro rozšíření pro korelaci archivních událostí</w:t>
            </w:r>
          </w:p>
        </w:tc>
        <w:tc>
          <w:tcPr>
            <w:tcW w:w="2835" w:type="dxa"/>
            <w:tcBorders>
              <w:top w:val="nil"/>
              <w:left w:val="nil"/>
              <w:bottom w:val="single" w:sz="4" w:space="0" w:color="auto"/>
              <w:right w:val="single" w:sz="4" w:space="0" w:color="auto"/>
            </w:tcBorders>
            <w:shd w:val="clear" w:color="auto" w:fill="auto"/>
            <w:noWrap/>
            <w:vAlign w:val="bottom"/>
            <w:hideMark/>
          </w:tcPr>
          <w:p w14:paraId="743C31C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44DB9B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31D435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87AEBE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7EB9B358"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3522256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Podpora a otevřenost pro rozšíření na distribuovaný model sběru a zpracování dat</w:t>
            </w:r>
          </w:p>
        </w:tc>
        <w:tc>
          <w:tcPr>
            <w:tcW w:w="2835" w:type="dxa"/>
            <w:tcBorders>
              <w:top w:val="nil"/>
              <w:left w:val="nil"/>
              <w:bottom w:val="single" w:sz="4" w:space="0" w:color="auto"/>
              <w:right w:val="single" w:sz="4" w:space="0" w:color="auto"/>
            </w:tcBorders>
            <w:shd w:val="clear" w:color="auto" w:fill="auto"/>
            <w:noWrap/>
            <w:vAlign w:val="bottom"/>
            <w:hideMark/>
          </w:tcPr>
          <w:p w14:paraId="7A02237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F17121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E221321"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4AD0B5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3D97EA95"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080F2CE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Podpora a otevřenost pro rozšíření </w:t>
            </w:r>
            <w:proofErr w:type="spellStart"/>
            <w:r w:rsidRPr="008D4FC8">
              <w:rPr>
                <w:rFonts w:ascii="Calibri" w:eastAsia="Times New Roman" w:hAnsi="Calibri"/>
                <w:color w:val="000000"/>
                <w:sz w:val="16"/>
                <w:szCs w:val="16"/>
                <w:lang w:eastAsia="cs-CZ"/>
              </w:rPr>
              <w:t>bezagentského</w:t>
            </w:r>
            <w:proofErr w:type="spellEnd"/>
            <w:r w:rsidRPr="008D4FC8">
              <w:rPr>
                <w:rFonts w:ascii="Calibri" w:eastAsia="Times New Roman" w:hAnsi="Calibri"/>
                <w:color w:val="000000"/>
                <w:sz w:val="16"/>
                <w:szCs w:val="16"/>
                <w:lang w:eastAsia="cs-CZ"/>
              </w:rPr>
              <w:t xml:space="preserve"> sběru databázových transakcí</w:t>
            </w:r>
          </w:p>
        </w:tc>
        <w:tc>
          <w:tcPr>
            <w:tcW w:w="2835" w:type="dxa"/>
            <w:tcBorders>
              <w:top w:val="nil"/>
              <w:left w:val="nil"/>
              <w:bottom w:val="single" w:sz="4" w:space="0" w:color="auto"/>
              <w:right w:val="single" w:sz="4" w:space="0" w:color="auto"/>
            </w:tcBorders>
            <w:shd w:val="clear" w:color="auto" w:fill="auto"/>
            <w:noWrap/>
            <w:vAlign w:val="bottom"/>
            <w:hideMark/>
          </w:tcPr>
          <w:p w14:paraId="493A341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8EC591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44CAA1C"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7C44C20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nil"/>
              <w:bottom w:val="single" w:sz="4" w:space="0" w:color="auto"/>
              <w:right w:val="single" w:sz="8" w:space="0" w:color="000000"/>
            </w:tcBorders>
            <w:vAlign w:val="center"/>
            <w:hideMark/>
          </w:tcPr>
          <w:p w14:paraId="74D4C695"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4" w:type="dxa"/>
            <w:tcBorders>
              <w:top w:val="nil"/>
              <w:left w:val="nil"/>
              <w:bottom w:val="single" w:sz="4" w:space="0" w:color="auto"/>
              <w:right w:val="single" w:sz="4" w:space="0" w:color="auto"/>
            </w:tcBorders>
            <w:shd w:val="clear" w:color="auto" w:fill="auto"/>
            <w:vAlign w:val="center"/>
            <w:hideMark/>
          </w:tcPr>
          <w:p w14:paraId="21D330F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Podpora samostatného přijímače událostí (min. 1000 EPS) se šifrovanou komunikací se základní jednotkou pro umístění do další </w:t>
            </w:r>
            <w:proofErr w:type="spellStart"/>
            <w:r w:rsidRPr="008D4FC8">
              <w:rPr>
                <w:rFonts w:ascii="Calibri" w:eastAsia="Times New Roman" w:hAnsi="Calibri"/>
                <w:color w:val="000000"/>
                <w:sz w:val="16"/>
                <w:szCs w:val="16"/>
                <w:lang w:eastAsia="cs-CZ"/>
              </w:rPr>
              <w:t>lokaity</w:t>
            </w:r>
            <w:proofErr w:type="spellEnd"/>
            <w:r w:rsidRPr="008D4FC8">
              <w:rPr>
                <w:rFonts w:ascii="Calibri" w:eastAsia="Times New Roman" w:hAnsi="Calibri"/>
                <w:color w:val="000000"/>
                <w:sz w:val="16"/>
                <w:szCs w:val="16"/>
                <w:lang w:eastAsia="cs-CZ"/>
              </w:rPr>
              <w:t xml:space="preserve"> úřadu</w:t>
            </w:r>
          </w:p>
        </w:tc>
        <w:tc>
          <w:tcPr>
            <w:tcW w:w="2835" w:type="dxa"/>
            <w:tcBorders>
              <w:top w:val="nil"/>
              <w:left w:val="nil"/>
              <w:bottom w:val="single" w:sz="4" w:space="0" w:color="auto"/>
              <w:right w:val="single" w:sz="4" w:space="0" w:color="auto"/>
            </w:tcBorders>
            <w:shd w:val="clear" w:color="auto" w:fill="auto"/>
            <w:noWrap/>
            <w:vAlign w:val="bottom"/>
            <w:hideMark/>
          </w:tcPr>
          <w:p w14:paraId="3E09A6A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34A4BD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13AC7AF" w14:textId="77777777" w:rsidTr="008D4FC8">
        <w:trPr>
          <w:trHeight w:val="315"/>
        </w:trPr>
        <w:tc>
          <w:tcPr>
            <w:tcW w:w="1124" w:type="dxa"/>
            <w:vMerge/>
            <w:tcBorders>
              <w:top w:val="nil"/>
              <w:left w:val="single" w:sz="8" w:space="0" w:color="auto"/>
              <w:bottom w:val="single" w:sz="8" w:space="0" w:color="000000"/>
              <w:right w:val="single" w:sz="8" w:space="0" w:color="auto"/>
            </w:tcBorders>
            <w:vAlign w:val="center"/>
            <w:hideMark/>
          </w:tcPr>
          <w:p w14:paraId="2C26CBB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8" w:space="0" w:color="auto"/>
              <w:right w:val="single" w:sz="8" w:space="0" w:color="auto"/>
            </w:tcBorders>
            <w:shd w:val="clear" w:color="auto" w:fill="auto"/>
            <w:vAlign w:val="center"/>
            <w:hideMark/>
          </w:tcPr>
          <w:p w14:paraId="6760FEC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Podpora</w:t>
            </w:r>
          </w:p>
        </w:tc>
        <w:tc>
          <w:tcPr>
            <w:tcW w:w="5954" w:type="dxa"/>
            <w:tcBorders>
              <w:top w:val="nil"/>
              <w:left w:val="nil"/>
              <w:bottom w:val="single" w:sz="8" w:space="0" w:color="auto"/>
              <w:right w:val="single" w:sz="4" w:space="0" w:color="auto"/>
            </w:tcBorders>
            <w:shd w:val="clear" w:color="auto" w:fill="auto"/>
            <w:vAlign w:val="center"/>
            <w:hideMark/>
          </w:tcPr>
          <w:p w14:paraId="0F1AB19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Záruka včetně nároku na aktualizace firmware  a veškerých definic (reputační data apod.) min. 12 měsíců</w:t>
            </w:r>
          </w:p>
        </w:tc>
        <w:tc>
          <w:tcPr>
            <w:tcW w:w="2835" w:type="dxa"/>
            <w:tcBorders>
              <w:top w:val="nil"/>
              <w:left w:val="nil"/>
              <w:bottom w:val="single" w:sz="8" w:space="0" w:color="auto"/>
              <w:right w:val="single" w:sz="4" w:space="0" w:color="auto"/>
            </w:tcBorders>
            <w:shd w:val="clear" w:color="auto" w:fill="auto"/>
            <w:noWrap/>
            <w:vAlign w:val="bottom"/>
            <w:hideMark/>
          </w:tcPr>
          <w:p w14:paraId="0E1CE36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8" w:space="0" w:color="auto"/>
              <w:right w:val="single" w:sz="8" w:space="0" w:color="auto"/>
            </w:tcBorders>
            <w:shd w:val="clear" w:color="auto" w:fill="auto"/>
            <w:noWrap/>
            <w:vAlign w:val="bottom"/>
            <w:hideMark/>
          </w:tcPr>
          <w:p w14:paraId="054B9FB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6C4E9E6" w14:textId="77777777" w:rsidTr="008D4FC8">
        <w:trPr>
          <w:trHeight w:val="300"/>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070B51C1"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UPS</w:t>
            </w:r>
            <w:r w:rsidRPr="008D4FC8">
              <w:rPr>
                <w:rFonts w:ascii="Calibri" w:eastAsia="Times New Roman" w:hAnsi="Calibri"/>
                <w:b/>
                <w:bCs/>
                <w:color w:val="000000"/>
                <w:sz w:val="16"/>
                <w:szCs w:val="16"/>
                <w:lang w:eastAsia="cs-CZ"/>
              </w:rPr>
              <w:br/>
              <w:t>1 kus</w:t>
            </w:r>
          </w:p>
        </w:tc>
        <w:tc>
          <w:tcPr>
            <w:tcW w:w="1276" w:type="dxa"/>
            <w:tcBorders>
              <w:top w:val="nil"/>
              <w:left w:val="nil"/>
              <w:bottom w:val="single" w:sz="4" w:space="0" w:color="auto"/>
              <w:right w:val="single" w:sz="8" w:space="0" w:color="auto"/>
            </w:tcBorders>
            <w:shd w:val="clear" w:color="auto" w:fill="auto"/>
            <w:vAlign w:val="center"/>
            <w:hideMark/>
          </w:tcPr>
          <w:p w14:paraId="584C100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Provedení</w:t>
            </w:r>
          </w:p>
        </w:tc>
        <w:tc>
          <w:tcPr>
            <w:tcW w:w="5954" w:type="dxa"/>
            <w:tcBorders>
              <w:top w:val="nil"/>
              <w:left w:val="nil"/>
              <w:bottom w:val="single" w:sz="4" w:space="0" w:color="auto"/>
              <w:right w:val="single" w:sz="4" w:space="0" w:color="auto"/>
            </w:tcBorders>
            <w:shd w:val="clear" w:color="auto" w:fill="auto"/>
            <w:noWrap/>
            <w:vAlign w:val="center"/>
            <w:hideMark/>
          </w:tcPr>
          <w:p w14:paraId="79100893" w14:textId="67245321"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S</w:t>
            </w:r>
            <w:r w:rsidR="008D4FC8" w:rsidRPr="008D4FC8">
              <w:rPr>
                <w:rFonts w:ascii="Calibri" w:eastAsia="Times New Roman" w:hAnsi="Calibri"/>
                <w:color w:val="000000"/>
                <w:sz w:val="16"/>
                <w:szCs w:val="16"/>
                <w:lang w:eastAsia="cs-CZ"/>
              </w:rPr>
              <w:t>amostatně stojící</w:t>
            </w:r>
          </w:p>
        </w:tc>
        <w:tc>
          <w:tcPr>
            <w:tcW w:w="2835" w:type="dxa"/>
            <w:tcBorders>
              <w:top w:val="nil"/>
              <w:left w:val="nil"/>
              <w:bottom w:val="single" w:sz="4" w:space="0" w:color="auto"/>
              <w:right w:val="single" w:sz="4" w:space="0" w:color="auto"/>
            </w:tcBorders>
            <w:shd w:val="clear" w:color="auto" w:fill="auto"/>
            <w:noWrap/>
            <w:vAlign w:val="bottom"/>
            <w:hideMark/>
          </w:tcPr>
          <w:p w14:paraId="7725F16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05AADBF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340AD82" w14:textId="77777777" w:rsidTr="008D4FC8">
        <w:trPr>
          <w:trHeight w:val="435"/>
        </w:trPr>
        <w:tc>
          <w:tcPr>
            <w:tcW w:w="1124" w:type="dxa"/>
            <w:vMerge/>
            <w:tcBorders>
              <w:top w:val="nil"/>
              <w:left w:val="single" w:sz="8" w:space="0" w:color="auto"/>
              <w:bottom w:val="single" w:sz="8" w:space="0" w:color="000000"/>
              <w:right w:val="single" w:sz="8" w:space="0" w:color="auto"/>
            </w:tcBorders>
            <w:vAlign w:val="center"/>
            <w:hideMark/>
          </w:tcPr>
          <w:p w14:paraId="4B4DD04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33B343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Elektrické provedení</w:t>
            </w:r>
          </w:p>
        </w:tc>
        <w:tc>
          <w:tcPr>
            <w:tcW w:w="5954" w:type="dxa"/>
            <w:tcBorders>
              <w:top w:val="nil"/>
              <w:left w:val="nil"/>
              <w:bottom w:val="single" w:sz="4" w:space="0" w:color="auto"/>
              <w:right w:val="single" w:sz="4" w:space="0" w:color="auto"/>
            </w:tcBorders>
            <w:shd w:val="clear" w:color="auto" w:fill="auto"/>
            <w:noWrap/>
            <w:vAlign w:val="center"/>
            <w:hideMark/>
          </w:tcPr>
          <w:p w14:paraId="114E08D5" w14:textId="77777777" w:rsidR="008D4FC8" w:rsidRPr="008D4FC8" w:rsidRDefault="008D4FC8" w:rsidP="008D4FC8">
            <w:pPr>
              <w:spacing w:after="0"/>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Jmenovite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napěti</w:t>
            </w:r>
            <w:proofErr w:type="spellEnd"/>
            <w:r w:rsidRPr="008D4FC8">
              <w:rPr>
                <w:rFonts w:ascii="Calibri" w:eastAsia="Times New Roman" w:hAnsi="Calibri"/>
                <w:color w:val="000000"/>
                <w:sz w:val="16"/>
                <w:szCs w:val="16"/>
                <w:lang w:eastAsia="cs-CZ"/>
              </w:rPr>
              <w:t>́ 230 V, jednofázová na vstupu i výstupu</w:t>
            </w:r>
          </w:p>
        </w:tc>
        <w:tc>
          <w:tcPr>
            <w:tcW w:w="2835" w:type="dxa"/>
            <w:tcBorders>
              <w:top w:val="nil"/>
              <w:left w:val="nil"/>
              <w:bottom w:val="single" w:sz="4" w:space="0" w:color="auto"/>
              <w:right w:val="single" w:sz="4" w:space="0" w:color="auto"/>
            </w:tcBorders>
            <w:shd w:val="clear" w:color="auto" w:fill="auto"/>
            <w:noWrap/>
            <w:vAlign w:val="bottom"/>
            <w:hideMark/>
          </w:tcPr>
          <w:p w14:paraId="79B57C5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270FA5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AB7FE42"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34CF5C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1A7E54F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Výkon (VA/W)</w:t>
            </w:r>
          </w:p>
        </w:tc>
        <w:tc>
          <w:tcPr>
            <w:tcW w:w="5954" w:type="dxa"/>
            <w:tcBorders>
              <w:top w:val="nil"/>
              <w:left w:val="nil"/>
              <w:bottom w:val="single" w:sz="4" w:space="0" w:color="auto"/>
              <w:right w:val="single" w:sz="4" w:space="0" w:color="auto"/>
            </w:tcBorders>
            <w:shd w:val="clear" w:color="auto" w:fill="auto"/>
            <w:noWrap/>
            <w:vAlign w:val="center"/>
            <w:hideMark/>
          </w:tcPr>
          <w:p w14:paraId="7B8EB855"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5000 VA / 4500 W</w:t>
            </w:r>
          </w:p>
        </w:tc>
        <w:tc>
          <w:tcPr>
            <w:tcW w:w="2835" w:type="dxa"/>
            <w:tcBorders>
              <w:top w:val="nil"/>
              <w:left w:val="nil"/>
              <w:bottom w:val="single" w:sz="4" w:space="0" w:color="auto"/>
              <w:right w:val="single" w:sz="4" w:space="0" w:color="auto"/>
            </w:tcBorders>
            <w:shd w:val="clear" w:color="auto" w:fill="auto"/>
            <w:noWrap/>
            <w:vAlign w:val="bottom"/>
            <w:hideMark/>
          </w:tcPr>
          <w:p w14:paraId="2D4299F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F18EFE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8FCBDB6"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FA1EA5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31A7E69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Technologie</w:t>
            </w:r>
          </w:p>
        </w:tc>
        <w:tc>
          <w:tcPr>
            <w:tcW w:w="5954" w:type="dxa"/>
            <w:tcBorders>
              <w:top w:val="nil"/>
              <w:left w:val="nil"/>
              <w:bottom w:val="single" w:sz="4" w:space="0" w:color="auto"/>
              <w:right w:val="single" w:sz="4" w:space="0" w:color="auto"/>
            </w:tcBorders>
            <w:shd w:val="clear" w:color="auto" w:fill="auto"/>
            <w:noWrap/>
            <w:vAlign w:val="center"/>
            <w:hideMark/>
          </w:tcPr>
          <w:p w14:paraId="1145364D" w14:textId="5459DE15"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O</w:t>
            </w:r>
            <w:r w:rsidR="008D4FC8" w:rsidRPr="008D4FC8">
              <w:rPr>
                <w:rFonts w:ascii="Calibri" w:eastAsia="Times New Roman" w:hAnsi="Calibri"/>
                <w:color w:val="000000"/>
                <w:sz w:val="16"/>
                <w:szCs w:val="16"/>
                <w:lang w:eastAsia="cs-CZ"/>
              </w:rPr>
              <w:t>nline s dvojitou konverzí</w:t>
            </w:r>
          </w:p>
        </w:tc>
        <w:tc>
          <w:tcPr>
            <w:tcW w:w="2835" w:type="dxa"/>
            <w:tcBorders>
              <w:top w:val="nil"/>
              <w:left w:val="nil"/>
              <w:bottom w:val="single" w:sz="4" w:space="0" w:color="auto"/>
              <w:right w:val="single" w:sz="4" w:space="0" w:color="auto"/>
            </w:tcBorders>
            <w:shd w:val="clear" w:color="auto" w:fill="auto"/>
            <w:noWrap/>
            <w:vAlign w:val="bottom"/>
            <w:hideMark/>
          </w:tcPr>
          <w:p w14:paraId="2740D17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CB14DA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6B56CA3"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306B1E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2E2D88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Účinnost</w:t>
            </w:r>
          </w:p>
        </w:tc>
        <w:tc>
          <w:tcPr>
            <w:tcW w:w="5954" w:type="dxa"/>
            <w:tcBorders>
              <w:top w:val="nil"/>
              <w:left w:val="nil"/>
              <w:bottom w:val="single" w:sz="4" w:space="0" w:color="auto"/>
              <w:right w:val="single" w:sz="4" w:space="0" w:color="auto"/>
            </w:tcBorders>
            <w:shd w:val="clear" w:color="auto" w:fill="auto"/>
            <w:noWrap/>
            <w:vAlign w:val="center"/>
            <w:hideMark/>
          </w:tcPr>
          <w:p w14:paraId="1398CFEA" w14:textId="0914D20A"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8D4FC8" w:rsidRPr="008D4FC8">
              <w:rPr>
                <w:rFonts w:ascii="Calibri" w:eastAsia="Times New Roman" w:hAnsi="Calibri"/>
                <w:color w:val="000000"/>
                <w:sz w:val="16"/>
                <w:szCs w:val="16"/>
                <w:lang w:eastAsia="cs-CZ"/>
              </w:rPr>
              <w:t>in. 95 %, účiník min 0,9</w:t>
            </w:r>
          </w:p>
        </w:tc>
        <w:tc>
          <w:tcPr>
            <w:tcW w:w="2835" w:type="dxa"/>
            <w:tcBorders>
              <w:top w:val="nil"/>
              <w:left w:val="nil"/>
              <w:bottom w:val="single" w:sz="4" w:space="0" w:color="auto"/>
              <w:right w:val="single" w:sz="4" w:space="0" w:color="auto"/>
            </w:tcBorders>
            <w:shd w:val="clear" w:color="auto" w:fill="auto"/>
            <w:noWrap/>
            <w:vAlign w:val="bottom"/>
            <w:hideMark/>
          </w:tcPr>
          <w:p w14:paraId="686D11E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3B55D41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197E80C"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915889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A26383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Stabilizace</w:t>
            </w:r>
          </w:p>
        </w:tc>
        <w:tc>
          <w:tcPr>
            <w:tcW w:w="5954" w:type="dxa"/>
            <w:tcBorders>
              <w:top w:val="nil"/>
              <w:left w:val="nil"/>
              <w:bottom w:val="single" w:sz="4" w:space="0" w:color="auto"/>
              <w:right w:val="single" w:sz="4" w:space="0" w:color="auto"/>
            </w:tcBorders>
            <w:shd w:val="clear" w:color="auto" w:fill="auto"/>
            <w:noWrap/>
            <w:vAlign w:val="center"/>
            <w:hideMark/>
          </w:tcPr>
          <w:p w14:paraId="174664C7" w14:textId="3A9E5C4A"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V</w:t>
            </w:r>
            <w:r w:rsidR="008D4FC8" w:rsidRPr="008D4FC8">
              <w:rPr>
                <w:rFonts w:ascii="Calibri" w:eastAsia="Times New Roman" w:hAnsi="Calibri"/>
                <w:color w:val="000000"/>
                <w:sz w:val="16"/>
                <w:szCs w:val="16"/>
                <w:lang w:eastAsia="cs-CZ"/>
              </w:rPr>
              <w:t xml:space="preserve">ýstupní </w:t>
            </w:r>
            <w:proofErr w:type="spellStart"/>
            <w:r w:rsidR="008D4FC8" w:rsidRPr="008D4FC8">
              <w:rPr>
                <w:rFonts w:ascii="Calibri" w:eastAsia="Times New Roman" w:hAnsi="Calibri"/>
                <w:color w:val="000000"/>
                <w:sz w:val="16"/>
                <w:szCs w:val="16"/>
                <w:lang w:eastAsia="cs-CZ"/>
              </w:rPr>
              <w:t>napěti</w:t>
            </w:r>
            <w:proofErr w:type="spellEnd"/>
            <w:r w:rsidR="008D4FC8" w:rsidRPr="008D4FC8">
              <w:rPr>
                <w:rFonts w:ascii="Calibri" w:eastAsia="Times New Roman" w:hAnsi="Calibri"/>
                <w:color w:val="000000"/>
                <w:sz w:val="16"/>
                <w:szCs w:val="16"/>
                <w:lang w:eastAsia="cs-CZ"/>
              </w:rPr>
              <w:t xml:space="preserve">́ – odchylka max. ±3 % od </w:t>
            </w:r>
            <w:proofErr w:type="spellStart"/>
            <w:r w:rsidR="008D4FC8" w:rsidRPr="008D4FC8">
              <w:rPr>
                <w:rFonts w:ascii="Calibri" w:eastAsia="Times New Roman" w:hAnsi="Calibri"/>
                <w:color w:val="000000"/>
                <w:sz w:val="16"/>
                <w:szCs w:val="16"/>
                <w:lang w:eastAsia="cs-CZ"/>
              </w:rPr>
              <w:t>jmenovite</w:t>
            </w:r>
            <w:proofErr w:type="spellEnd"/>
            <w:r w:rsidR="008D4FC8" w:rsidRPr="008D4FC8">
              <w:rPr>
                <w:rFonts w:ascii="Calibri" w:eastAsia="Times New Roman" w:hAnsi="Calibri"/>
                <w:color w:val="000000"/>
                <w:sz w:val="16"/>
                <w:szCs w:val="16"/>
                <w:lang w:eastAsia="cs-CZ"/>
              </w:rPr>
              <w:t>́ hodnoty</w:t>
            </w:r>
          </w:p>
        </w:tc>
        <w:tc>
          <w:tcPr>
            <w:tcW w:w="2835" w:type="dxa"/>
            <w:tcBorders>
              <w:top w:val="nil"/>
              <w:left w:val="nil"/>
              <w:bottom w:val="single" w:sz="4" w:space="0" w:color="auto"/>
              <w:right w:val="single" w:sz="4" w:space="0" w:color="auto"/>
            </w:tcBorders>
            <w:shd w:val="clear" w:color="auto" w:fill="auto"/>
            <w:noWrap/>
            <w:vAlign w:val="bottom"/>
            <w:hideMark/>
          </w:tcPr>
          <w:p w14:paraId="0294E9E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25DD306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E8A2C20"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BADD70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71FB42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Kapacita</w:t>
            </w:r>
          </w:p>
        </w:tc>
        <w:tc>
          <w:tcPr>
            <w:tcW w:w="5954" w:type="dxa"/>
            <w:tcBorders>
              <w:top w:val="nil"/>
              <w:left w:val="nil"/>
              <w:bottom w:val="single" w:sz="4" w:space="0" w:color="auto"/>
              <w:right w:val="single" w:sz="4" w:space="0" w:color="auto"/>
            </w:tcBorders>
            <w:shd w:val="clear" w:color="auto" w:fill="auto"/>
            <w:noWrap/>
            <w:vAlign w:val="center"/>
            <w:hideMark/>
          </w:tcPr>
          <w:p w14:paraId="264F69B4"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Standardní doba běhu na baterie min. 30 min při 50% zátěži</w:t>
            </w:r>
          </w:p>
        </w:tc>
        <w:tc>
          <w:tcPr>
            <w:tcW w:w="2835" w:type="dxa"/>
            <w:tcBorders>
              <w:top w:val="nil"/>
              <w:left w:val="nil"/>
              <w:bottom w:val="single" w:sz="4" w:space="0" w:color="auto"/>
              <w:right w:val="single" w:sz="4" w:space="0" w:color="auto"/>
            </w:tcBorders>
            <w:shd w:val="clear" w:color="auto" w:fill="auto"/>
            <w:noWrap/>
            <w:vAlign w:val="bottom"/>
            <w:hideMark/>
          </w:tcPr>
          <w:p w14:paraId="4F96EBF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BE6565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2758CF7"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15CBCB9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64D9B4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Rozšiřující kapacita</w:t>
            </w:r>
          </w:p>
        </w:tc>
        <w:tc>
          <w:tcPr>
            <w:tcW w:w="5954" w:type="dxa"/>
            <w:tcBorders>
              <w:top w:val="nil"/>
              <w:left w:val="nil"/>
              <w:bottom w:val="single" w:sz="4" w:space="0" w:color="auto"/>
              <w:right w:val="single" w:sz="4" w:space="0" w:color="auto"/>
            </w:tcBorders>
            <w:shd w:val="clear" w:color="auto" w:fill="auto"/>
            <w:noWrap/>
            <w:vAlign w:val="center"/>
            <w:hideMark/>
          </w:tcPr>
          <w:p w14:paraId="2A4B84BC"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Rozšiřující bateriový modul pro prodloužení běhu na baterie na min. 75 min při 50% zátěži součástí dodávky</w:t>
            </w:r>
          </w:p>
        </w:tc>
        <w:tc>
          <w:tcPr>
            <w:tcW w:w="2835" w:type="dxa"/>
            <w:tcBorders>
              <w:top w:val="nil"/>
              <w:left w:val="nil"/>
              <w:bottom w:val="single" w:sz="4" w:space="0" w:color="auto"/>
              <w:right w:val="single" w:sz="4" w:space="0" w:color="auto"/>
            </w:tcBorders>
            <w:shd w:val="clear" w:color="auto" w:fill="auto"/>
            <w:noWrap/>
            <w:vAlign w:val="bottom"/>
            <w:hideMark/>
          </w:tcPr>
          <w:p w14:paraId="2E2FD6C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C4F1F6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D5EAD37"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2AD96A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87963F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Vstup</w:t>
            </w:r>
          </w:p>
        </w:tc>
        <w:tc>
          <w:tcPr>
            <w:tcW w:w="5954" w:type="dxa"/>
            <w:tcBorders>
              <w:top w:val="nil"/>
              <w:left w:val="nil"/>
              <w:bottom w:val="single" w:sz="4" w:space="0" w:color="auto"/>
              <w:right w:val="single" w:sz="4" w:space="0" w:color="auto"/>
            </w:tcBorders>
            <w:shd w:val="clear" w:color="auto" w:fill="auto"/>
            <w:noWrap/>
            <w:vAlign w:val="center"/>
            <w:hideMark/>
          </w:tcPr>
          <w:p w14:paraId="33FD6089" w14:textId="162166D8"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evné připojení, svorky</w:t>
            </w:r>
          </w:p>
        </w:tc>
        <w:tc>
          <w:tcPr>
            <w:tcW w:w="2835" w:type="dxa"/>
            <w:tcBorders>
              <w:top w:val="nil"/>
              <w:left w:val="nil"/>
              <w:bottom w:val="single" w:sz="4" w:space="0" w:color="auto"/>
              <w:right w:val="single" w:sz="4" w:space="0" w:color="auto"/>
            </w:tcBorders>
            <w:shd w:val="clear" w:color="auto" w:fill="auto"/>
            <w:noWrap/>
            <w:vAlign w:val="bottom"/>
            <w:hideMark/>
          </w:tcPr>
          <w:p w14:paraId="1A6D452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D01E94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27A27C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4281D2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1F42D7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Výstupy</w:t>
            </w:r>
          </w:p>
        </w:tc>
        <w:tc>
          <w:tcPr>
            <w:tcW w:w="5954" w:type="dxa"/>
            <w:tcBorders>
              <w:top w:val="nil"/>
              <w:left w:val="nil"/>
              <w:bottom w:val="single" w:sz="4" w:space="0" w:color="auto"/>
              <w:right w:val="single" w:sz="4" w:space="0" w:color="auto"/>
            </w:tcBorders>
            <w:shd w:val="clear" w:color="auto" w:fill="auto"/>
            <w:noWrap/>
            <w:vAlign w:val="center"/>
            <w:hideMark/>
          </w:tcPr>
          <w:p w14:paraId="0F816AE7" w14:textId="51746C5B"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evné připojení, svorky pro PDU</w:t>
            </w:r>
          </w:p>
        </w:tc>
        <w:tc>
          <w:tcPr>
            <w:tcW w:w="2835" w:type="dxa"/>
            <w:tcBorders>
              <w:top w:val="nil"/>
              <w:left w:val="nil"/>
              <w:bottom w:val="single" w:sz="4" w:space="0" w:color="auto"/>
              <w:right w:val="single" w:sz="4" w:space="0" w:color="auto"/>
            </w:tcBorders>
            <w:shd w:val="clear" w:color="auto" w:fill="auto"/>
            <w:noWrap/>
            <w:vAlign w:val="bottom"/>
            <w:hideMark/>
          </w:tcPr>
          <w:p w14:paraId="72EEE1A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152D9C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F5A1E9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354A76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1A6F78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Diagnostika</w:t>
            </w:r>
          </w:p>
        </w:tc>
        <w:tc>
          <w:tcPr>
            <w:tcW w:w="5954" w:type="dxa"/>
            <w:tcBorders>
              <w:top w:val="nil"/>
              <w:left w:val="nil"/>
              <w:bottom w:val="single" w:sz="4" w:space="0" w:color="auto"/>
              <w:right w:val="single" w:sz="4" w:space="0" w:color="auto"/>
            </w:tcBorders>
            <w:shd w:val="clear" w:color="auto" w:fill="auto"/>
            <w:noWrap/>
            <w:vAlign w:val="center"/>
            <w:hideMark/>
          </w:tcPr>
          <w:p w14:paraId="2D73D3F6" w14:textId="5FCB10AC"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V</w:t>
            </w:r>
            <w:r w:rsidR="008D4FC8" w:rsidRPr="008D4FC8">
              <w:rPr>
                <w:rFonts w:ascii="Calibri" w:eastAsia="Times New Roman" w:hAnsi="Calibri"/>
                <w:color w:val="000000"/>
                <w:sz w:val="16"/>
                <w:szCs w:val="16"/>
                <w:lang w:eastAsia="cs-CZ"/>
              </w:rPr>
              <w:t xml:space="preserve">estavěný </w:t>
            </w:r>
            <w:proofErr w:type="spellStart"/>
            <w:r w:rsidR="008D4FC8" w:rsidRPr="008D4FC8">
              <w:rPr>
                <w:rFonts w:ascii="Calibri" w:eastAsia="Times New Roman" w:hAnsi="Calibri"/>
                <w:color w:val="000000"/>
                <w:sz w:val="16"/>
                <w:szCs w:val="16"/>
                <w:lang w:eastAsia="cs-CZ"/>
              </w:rPr>
              <w:t>úplny</w:t>
            </w:r>
            <w:proofErr w:type="spellEnd"/>
            <w:r w:rsidR="008D4FC8" w:rsidRPr="008D4FC8">
              <w:rPr>
                <w:rFonts w:ascii="Calibri" w:eastAsia="Times New Roman" w:hAnsi="Calibri"/>
                <w:color w:val="000000"/>
                <w:sz w:val="16"/>
                <w:szCs w:val="16"/>
                <w:lang w:eastAsia="cs-CZ"/>
              </w:rPr>
              <w:t xml:space="preserve">́ </w:t>
            </w:r>
            <w:proofErr w:type="spellStart"/>
            <w:r w:rsidR="008D4FC8" w:rsidRPr="008D4FC8">
              <w:rPr>
                <w:rFonts w:ascii="Calibri" w:eastAsia="Times New Roman" w:hAnsi="Calibri"/>
                <w:color w:val="000000"/>
                <w:sz w:val="16"/>
                <w:szCs w:val="16"/>
                <w:lang w:eastAsia="cs-CZ"/>
              </w:rPr>
              <w:t>systémovy</w:t>
            </w:r>
            <w:proofErr w:type="spellEnd"/>
            <w:r w:rsidR="008D4FC8" w:rsidRPr="008D4FC8">
              <w:rPr>
                <w:rFonts w:ascii="Calibri" w:eastAsia="Times New Roman" w:hAnsi="Calibri"/>
                <w:color w:val="000000"/>
                <w:sz w:val="16"/>
                <w:szCs w:val="16"/>
                <w:lang w:eastAsia="cs-CZ"/>
              </w:rPr>
              <w:t xml:space="preserve">́ </w:t>
            </w:r>
            <w:proofErr w:type="spellStart"/>
            <w:r w:rsidR="008D4FC8" w:rsidRPr="008D4FC8">
              <w:rPr>
                <w:rFonts w:ascii="Calibri" w:eastAsia="Times New Roman" w:hAnsi="Calibri"/>
                <w:color w:val="000000"/>
                <w:sz w:val="16"/>
                <w:szCs w:val="16"/>
                <w:lang w:eastAsia="cs-CZ"/>
              </w:rPr>
              <w:t>autotest</w:t>
            </w:r>
            <w:proofErr w:type="spellEnd"/>
            <w:r w:rsidR="008D4FC8" w:rsidRPr="008D4FC8">
              <w:rPr>
                <w:rFonts w:ascii="Calibri" w:eastAsia="Times New Roman" w:hAnsi="Calibri"/>
                <w:color w:val="000000"/>
                <w:sz w:val="16"/>
                <w:szCs w:val="16"/>
                <w:lang w:eastAsia="cs-CZ"/>
              </w:rPr>
              <w:t>, možnost automatického plánovaného provádění</w:t>
            </w:r>
          </w:p>
        </w:tc>
        <w:tc>
          <w:tcPr>
            <w:tcW w:w="2835" w:type="dxa"/>
            <w:tcBorders>
              <w:top w:val="nil"/>
              <w:left w:val="nil"/>
              <w:bottom w:val="single" w:sz="4" w:space="0" w:color="auto"/>
              <w:right w:val="single" w:sz="4" w:space="0" w:color="auto"/>
            </w:tcBorders>
            <w:shd w:val="clear" w:color="auto" w:fill="auto"/>
            <w:noWrap/>
            <w:vAlign w:val="bottom"/>
            <w:hideMark/>
          </w:tcPr>
          <w:p w14:paraId="4F97420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8CD198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908A240"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F54AE7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1EB6182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Servis</w:t>
            </w:r>
          </w:p>
        </w:tc>
        <w:tc>
          <w:tcPr>
            <w:tcW w:w="5954" w:type="dxa"/>
            <w:tcBorders>
              <w:top w:val="nil"/>
              <w:left w:val="nil"/>
              <w:bottom w:val="single" w:sz="4" w:space="0" w:color="auto"/>
              <w:right w:val="single" w:sz="4" w:space="0" w:color="auto"/>
            </w:tcBorders>
            <w:shd w:val="clear" w:color="auto" w:fill="auto"/>
            <w:noWrap/>
            <w:vAlign w:val="center"/>
            <w:hideMark/>
          </w:tcPr>
          <w:p w14:paraId="4ACA1D16"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Baterie musí být vyměnitelné za chodu, aniž by bylo nutné odstavovat připojená zařízení.</w:t>
            </w:r>
          </w:p>
        </w:tc>
        <w:tc>
          <w:tcPr>
            <w:tcW w:w="2835" w:type="dxa"/>
            <w:tcBorders>
              <w:top w:val="nil"/>
              <w:left w:val="nil"/>
              <w:bottom w:val="single" w:sz="4" w:space="0" w:color="auto"/>
              <w:right w:val="single" w:sz="4" w:space="0" w:color="auto"/>
            </w:tcBorders>
            <w:shd w:val="clear" w:color="auto" w:fill="auto"/>
            <w:noWrap/>
            <w:vAlign w:val="bottom"/>
            <w:hideMark/>
          </w:tcPr>
          <w:p w14:paraId="46CAAB4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81AD92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F4BA9C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B45543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DBD333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Nabíjení</w:t>
            </w:r>
          </w:p>
        </w:tc>
        <w:tc>
          <w:tcPr>
            <w:tcW w:w="5954" w:type="dxa"/>
            <w:tcBorders>
              <w:top w:val="nil"/>
              <w:left w:val="nil"/>
              <w:bottom w:val="single" w:sz="4" w:space="0" w:color="auto"/>
              <w:right w:val="single" w:sz="4" w:space="0" w:color="auto"/>
            </w:tcBorders>
            <w:shd w:val="clear" w:color="auto" w:fill="auto"/>
            <w:noWrap/>
            <w:vAlign w:val="center"/>
            <w:hideMark/>
          </w:tcPr>
          <w:p w14:paraId="5E63F398"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Inteligentní, vícefázové, nabíjení pro prodloužení životností baterie</w:t>
            </w:r>
          </w:p>
        </w:tc>
        <w:tc>
          <w:tcPr>
            <w:tcW w:w="2835" w:type="dxa"/>
            <w:tcBorders>
              <w:top w:val="nil"/>
              <w:left w:val="nil"/>
              <w:bottom w:val="single" w:sz="4" w:space="0" w:color="auto"/>
              <w:right w:val="single" w:sz="4" w:space="0" w:color="auto"/>
            </w:tcBorders>
            <w:shd w:val="clear" w:color="auto" w:fill="auto"/>
            <w:noWrap/>
            <w:vAlign w:val="bottom"/>
            <w:hideMark/>
          </w:tcPr>
          <w:p w14:paraId="3B84E3D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426605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9593374"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14BCF09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F678F3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Rozšíření</w:t>
            </w:r>
          </w:p>
        </w:tc>
        <w:tc>
          <w:tcPr>
            <w:tcW w:w="5954" w:type="dxa"/>
            <w:tcBorders>
              <w:top w:val="nil"/>
              <w:left w:val="nil"/>
              <w:bottom w:val="single" w:sz="4" w:space="0" w:color="auto"/>
              <w:right w:val="single" w:sz="4" w:space="0" w:color="auto"/>
            </w:tcBorders>
            <w:shd w:val="clear" w:color="auto" w:fill="auto"/>
            <w:noWrap/>
            <w:vAlign w:val="center"/>
            <w:hideMark/>
          </w:tcPr>
          <w:p w14:paraId="32EE75E5"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Podpora externích bateriových modulů pro zvýšení kapacity - min. 160 min. při plné zátěži</w:t>
            </w:r>
          </w:p>
        </w:tc>
        <w:tc>
          <w:tcPr>
            <w:tcW w:w="2835" w:type="dxa"/>
            <w:tcBorders>
              <w:top w:val="nil"/>
              <w:left w:val="nil"/>
              <w:bottom w:val="single" w:sz="4" w:space="0" w:color="auto"/>
              <w:right w:val="single" w:sz="4" w:space="0" w:color="auto"/>
            </w:tcBorders>
            <w:shd w:val="clear" w:color="auto" w:fill="auto"/>
            <w:noWrap/>
            <w:vAlign w:val="bottom"/>
            <w:hideMark/>
          </w:tcPr>
          <w:p w14:paraId="012D932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C732B8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243D4E9"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E17DFE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4F5770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Komunikační porty</w:t>
            </w:r>
          </w:p>
        </w:tc>
        <w:tc>
          <w:tcPr>
            <w:tcW w:w="5954" w:type="dxa"/>
            <w:tcBorders>
              <w:top w:val="nil"/>
              <w:left w:val="nil"/>
              <w:bottom w:val="single" w:sz="4" w:space="0" w:color="auto"/>
              <w:right w:val="single" w:sz="4" w:space="0" w:color="auto"/>
            </w:tcBorders>
            <w:shd w:val="clear" w:color="auto" w:fill="auto"/>
            <w:noWrap/>
            <w:vAlign w:val="center"/>
            <w:hideMark/>
          </w:tcPr>
          <w:p w14:paraId="77E37CB0"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RS-232, USB, LAN RJ-45 pro management a automatické řízení zálohovaných zařízení</w:t>
            </w:r>
          </w:p>
        </w:tc>
        <w:tc>
          <w:tcPr>
            <w:tcW w:w="2835" w:type="dxa"/>
            <w:tcBorders>
              <w:top w:val="nil"/>
              <w:left w:val="nil"/>
              <w:bottom w:val="single" w:sz="4" w:space="0" w:color="auto"/>
              <w:right w:val="single" w:sz="4" w:space="0" w:color="auto"/>
            </w:tcBorders>
            <w:shd w:val="clear" w:color="auto" w:fill="auto"/>
            <w:noWrap/>
            <w:vAlign w:val="bottom"/>
            <w:hideMark/>
          </w:tcPr>
          <w:p w14:paraId="6D335A8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6624F12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43E44EF"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F4BB88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6F2CA4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Komunikace LAN</w:t>
            </w:r>
          </w:p>
        </w:tc>
        <w:tc>
          <w:tcPr>
            <w:tcW w:w="5954" w:type="dxa"/>
            <w:tcBorders>
              <w:top w:val="nil"/>
              <w:left w:val="nil"/>
              <w:bottom w:val="single" w:sz="4" w:space="0" w:color="auto"/>
              <w:right w:val="single" w:sz="4" w:space="0" w:color="auto"/>
            </w:tcBorders>
            <w:shd w:val="clear" w:color="auto" w:fill="auto"/>
            <w:noWrap/>
            <w:vAlign w:val="center"/>
            <w:hideMark/>
          </w:tcPr>
          <w:p w14:paraId="6B466798" w14:textId="468561CA"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odpora http/s, SNMP s podporou standardní UPS MIB, SMTP</w:t>
            </w:r>
          </w:p>
        </w:tc>
        <w:tc>
          <w:tcPr>
            <w:tcW w:w="2835" w:type="dxa"/>
            <w:tcBorders>
              <w:top w:val="nil"/>
              <w:left w:val="nil"/>
              <w:bottom w:val="single" w:sz="4" w:space="0" w:color="auto"/>
              <w:right w:val="single" w:sz="4" w:space="0" w:color="auto"/>
            </w:tcBorders>
            <w:shd w:val="clear" w:color="auto" w:fill="auto"/>
            <w:noWrap/>
            <w:vAlign w:val="bottom"/>
            <w:hideMark/>
          </w:tcPr>
          <w:p w14:paraId="07012AB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52D0183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682252C"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3E752D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C6145DD" w14:textId="47A08381" w:rsidR="008D4FC8" w:rsidRPr="008D4FC8" w:rsidRDefault="00AD4233" w:rsidP="008D4FC8">
            <w:pPr>
              <w:spacing w:after="0"/>
              <w:jc w:val="left"/>
              <w:rPr>
                <w:rFonts w:ascii="Calibri" w:eastAsia="Times New Roman" w:hAnsi="Calibri"/>
                <w:color w:val="000000"/>
                <w:sz w:val="16"/>
                <w:szCs w:val="16"/>
                <w:lang w:eastAsia="cs-CZ"/>
              </w:rPr>
            </w:pPr>
            <w:r>
              <w:rPr>
                <w:rFonts w:ascii="Calibri" w:eastAsia="Times New Roman" w:hAnsi="Calibri"/>
                <w:color w:val="000000"/>
                <w:sz w:val="16"/>
                <w:szCs w:val="16"/>
                <w:lang w:eastAsia="cs-CZ"/>
              </w:rPr>
              <w:t>Stavové infor</w:t>
            </w:r>
            <w:r w:rsidR="008D4FC8" w:rsidRPr="008D4FC8">
              <w:rPr>
                <w:rFonts w:ascii="Calibri" w:eastAsia="Times New Roman" w:hAnsi="Calibri"/>
                <w:color w:val="000000"/>
                <w:sz w:val="16"/>
                <w:szCs w:val="16"/>
                <w:lang w:eastAsia="cs-CZ"/>
              </w:rPr>
              <w:t>m</w:t>
            </w:r>
            <w:r>
              <w:rPr>
                <w:rFonts w:ascii="Calibri" w:eastAsia="Times New Roman" w:hAnsi="Calibri"/>
                <w:color w:val="000000"/>
                <w:sz w:val="16"/>
                <w:szCs w:val="16"/>
                <w:lang w:eastAsia="cs-CZ"/>
              </w:rPr>
              <w:t>a</w:t>
            </w:r>
            <w:r w:rsidR="008D4FC8" w:rsidRPr="008D4FC8">
              <w:rPr>
                <w:rFonts w:ascii="Calibri" w:eastAsia="Times New Roman" w:hAnsi="Calibri"/>
                <w:color w:val="000000"/>
                <w:sz w:val="16"/>
                <w:szCs w:val="16"/>
                <w:lang w:eastAsia="cs-CZ"/>
              </w:rPr>
              <w:t>ce</w:t>
            </w:r>
          </w:p>
        </w:tc>
        <w:tc>
          <w:tcPr>
            <w:tcW w:w="5954" w:type="dxa"/>
            <w:tcBorders>
              <w:top w:val="nil"/>
              <w:left w:val="nil"/>
              <w:bottom w:val="single" w:sz="4" w:space="0" w:color="auto"/>
              <w:right w:val="single" w:sz="4" w:space="0" w:color="auto"/>
            </w:tcBorders>
            <w:shd w:val="clear" w:color="auto" w:fill="auto"/>
            <w:noWrap/>
            <w:vAlign w:val="center"/>
            <w:hideMark/>
          </w:tcPr>
          <w:p w14:paraId="4AC207A0"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Grafický displej pro informace o stavu UPS</w:t>
            </w:r>
          </w:p>
        </w:tc>
        <w:tc>
          <w:tcPr>
            <w:tcW w:w="2835" w:type="dxa"/>
            <w:tcBorders>
              <w:top w:val="nil"/>
              <w:left w:val="nil"/>
              <w:bottom w:val="single" w:sz="4" w:space="0" w:color="auto"/>
              <w:right w:val="single" w:sz="4" w:space="0" w:color="auto"/>
            </w:tcBorders>
            <w:shd w:val="clear" w:color="auto" w:fill="auto"/>
            <w:noWrap/>
            <w:vAlign w:val="bottom"/>
            <w:hideMark/>
          </w:tcPr>
          <w:p w14:paraId="10AB64E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1A4A113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37BCFCA"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9D8CE7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3D74AD8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Řízení</w:t>
            </w:r>
          </w:p>
        </w:tc>
        <w:tc>
          <w:tcPr>
            <w:tcW w:w="5954" w:type="dxa"/>
            <w:tcBorders>
              <w:top w:val="nil"/>
              <w:left w:val="nil"/>
              <w:bottom w:val="single" w:sz="4" w:space="0" w:color="auto"/>
              <w:right w:val="single" w:sz="4" w:space="0" w:color="auto"/>
            </w:tcBorders>
            <w:shd w:val="clear" w:color="auto" w:fill="auto"/>
            <w:noWrap/>
            <w:vAlign w:val="center"/>
            <w:hideMark/>
          </w:tcPr>
          <w:p w14:paraId="4030E948"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Schopnost dálkového ovládání a restartování chráněných zařízení přes síť, korektní </w:t>
            </w:r>
            <w:proofErr w:type="spellStart"/>
            <w:r w:rsidRPr="008D4FC8">
              <w:rPr>
                <w:rFonts w:ascii="Calibri" w:eastAsia="Times New Roman" w:hAnsi="Calibri"/>
                <w:color w:val="000000"/>
                <w:sz w:val="16"/>
                <w:szCs w:val="16"/>
                <w:lang w:eastAsia="cs-CZ"/>
              </w:rPr>
              <w:t>shutdown</w:t>
            </w:r>
            <w:proofErr w:type="spellEnd"/>
            <w:r w:rsidRPr="008D4FC8">
              <w:rPr>
                <w:rFonts w:ascii="Calibri" w:eastAsia="Times New Roman" w:hAnsi="Calibri"/>
                <w:color w:val="000000"/>
                <w:sz w:val="16"/>
                <w:szCs w:val="16"/>
                <w:lang w:eastAsia="cs-CZ"/>
              </w:rPr>
              <w:t xml:space="preserve"> operačních systémů</w:t>
            </w:r>
          </w:p>
        </w:tc>
        <w:tc>
          <w:tcPr>
            <w:tcW w:w="2835" w:type="dxa"/>
            <w:tcBorders>
              <w:top w:val="nil"/>
              <w:left w:val="nil"/>
              <w:bottom w:val="single" w:sz="4" w:space="0" w:color="auto"/>
              <w:right w:val="single" w:sz="4" w:space="0" w:color="auto"/>
            </w:tcBorders>
            <w:shd w:val="clear" w:color="auto" w:fill="auto"/>
            <w:noWrap/>
            <w:vAlign w:val="bottom"/>
            <w:hideMark/>
          </w:tcPr>
          <w:p w14:paraId="2F724A9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4EA38D9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DB4D61E"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6FDF74D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6A922AB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SW kompatibilita</w:t>
            </w:r>
          </w:p>
        </w:tc>
        <w:tc>
          <w:tcPr>
            <w:tcW w:w="5954" w:type="dxa"/>
            <w:tcBorders>
              <w:top w:val="nil"/>
              <w:left w:val="nil"/>
              <w:bottom w:val="single" w:sz="4" w:space="0" w:color="auto"/>
              <w:right w:val="single" w:sz="4" w:space="0" w:color="auto"/>
            </w:tcBorders>
            <w:shd w:val="clear" w:color="auto" w:fill="auto"/>
            <w:noWrap/>
            <w:vAlign w:val="center"/>
            <w:hideMark/>
          </w:tcPr>
          <w:p w14:paraId="047D2A10"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UPS musí být plně podporovaná výrobcem pro použití ve </w:t>
            </w:r>
            <w:proofErr w:type="spellStart"/>
            <w:r w:rsidRPr="008D4FC8">
              <w:rPr>
                <w:rFonts w:ascii="Calibri" w:eastAsia="Times New Roman" w:hAnsi="Calibri"/>
                <w:color w:val="000000"/>
                <w:sz w:val="16"/>
                <w:szCs w:val="16"/>
                <w:lang w:eastAsia="cs-CZ"/>
              </w:rPr>
              <w:t>virtualizačních</w:t>
            </w:r>
            <w:proofErr w:type="spellEnd"/>
            <w:r w:rsidRPr="008D4FC8">
              <w:rPr>
                <w:rFonts w:ascii="Calibri" w:eastAsia="Times New Roman" w:hAnsi="Calibri"/>
                <w:color w:val="000000"/>
                <w:sz w:val="16"/>
                <w:szCs w:val="16"/>
                <w:lang w:eastAsia="cs-CZ"/>
              </w:rPr>
              <w:t xml:space="preserve"> prostředích </w:t>
            </w:r>
            <w:proofErr w:type="spellStart"/>
            <w:r w:rsidRPr="008D4FC8">
              <w:rPr>
                <w:rFonts w:ascii="Calibri" w:eastAsia="Times New Roman" w:hAnsi="Calibri"/>
                <w:color w:val="000000"/>
                <w:sz w:val="16"/>
                <w:szCs w:val="16"/>
                <w:lang w:eastAsia="cs-CZ"/>
              </w:rPr>
              <w:t>VMware</w:t>
            </w:r>
            <w:proofErr w:type="spellEnd"/>
            <w:r w:rsidRPr="008D4FC8">
              <w:rPr>
                <w:rFonts w:ascii="Calibri" w:eastAsia="Times New Roman" w:hAnsi="Calibri"/>
                <w:color w:val="000000"/>
                <w:sz w:val="16"/>
                <w:szCs w:val="16"/>
                <w:lang w:eastAsia="cs-CZ"/>
              </w:rPr>
              <w:t xml:space="preserve"> a Microsoft Hyper-V, příslušný SW bude součástí dodávky</w:t>
            </w:r>
          </w:p>
        </w:tc>
        <w:tc>
          <w:tcPr>
            <w:tcW w:w="2835" w:type="dxa"/>
            <w:tcBorders>
              <w:top w:val="nil"/>
              <w:left w:val="nil"/>
              <w:bottom w:val="single" w:sz="4" w:space="0" w:color="auto"/>
              <w:right w:val="single" w:sz="4" w:space="0" w:color="auto"/>
            </w:tcBorders>
            <w:shd w:val="clear" w:color="auto" w:fill="auto"/>
            <w:noWrap/>
            <w:vAlign w:val="bottom"/>
            <w:hideMark/>
          </w:tcPr>
          <w:p w14:paraId="50C3662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noWrap/>
            <w:vAlign w:val="bottom"/>
            <w:hideMark/>
          </w:tcPr>
          <w:p w14:paraId="7332C4C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4B323D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1D87419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nil"/>
              <w:right w:val="single" w:sz="8" w:space="0" w:color="auto"/>
            </w:tcBorders>
            <w:shd w:val="clear" w:color="auto" w:fill="auto"/>
            <w:vAlign w:val="center"/>
            <w:hideMark/>
          </w:tcPr>
          <w:p w14:paraId="68EC586E" w14:textId="77777777" w:rsidR="008D4FC8" w:rsidRPr="008D4FC8" w:rsidRDefault="008D4FC8" w:rsidP="008D4FC8">
            <w:pPr>
              <w:spacing w:after="0"/>
              <w:jc w:val="left"/>
              <w:rPr>
                <w:rFonts w:ascii="Calibri" w:eastAsia="Times New Roman" w:hAnsi="Calibri"/>
                <w:color w:val="000000"/>
                <w:sz w:val="16"/>
                <w:szCs w:val="16"/>
                <w:lang w:eastAsia="cs-CZ"/>
              </w:rPr>
            </w:pPr>
            <w:proofErr w:type="spellStart"/>
            <w:r w:rsidRPr="008D4FC8">
              <w:rPr>
                <w:rFonts w:ascii="Calibri" w:eastAsia="Times New Roman" w:hAnsi="Calibri"/>
                <w:color w:val="000000"/>
                <w:sz w:val="16"/>
                <w:szCs w:val="16"/>
                <w:lang w:eastAsia="cs-CZ"/>
              </w:rPr>
              <w:t>Alerty</w:t>
            </w:r>
            <w:proofErr w:type="spellEnd"/>
          </w:p>
        </w:tc>
        <w:tc>
          <w:tcPr>
            <w:tcW w:w="5954" w:type="dxa"/>
            <w:tcBorders>
              <w:top w:val="nil"/>
              <w:left w:val="nil"/>
              <w:bottom w:val="nil"/>
              <w:right w:val="single" w:sz="4" w:space="0" w:color="auto"/>
            </w:tcBorders>
            <w:shd w:val="clear" w:color="auto" w:fill="auto"/>
            <w:noWrap/>
            <w:vAlign w:val="center"/>
            <w:hideMark/>
          </w:tcPr>
          <w:p w14:paraId="4E096999"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Real-</w:t>
            </w:r>
            <w:proofErr w:type="spellStart"/>
            <w:r w:rsidRPr="008D4FC8">
              <w:rPr>
                <w:rFonts w:ascii="Calibri" w:eastAsia="Times New Roman" w:hAnsi="Calibri"/>
                <w:color w:val="000000"/>
                <w:sz w:val="16"/>
                <w:szCs w:val="16"/>
                <w:lang w:eastAsia="cs-CZ"/>
              </w:rPr>
              <w:t>time</w:t>
            </w:r>
            <w:proofErr w:type="spellEnd"/>
            <w:r w:rsidRPr="008D4FC8">
              <w:rPr>
                <w:rFonts w:ascii="Calibri" w:eastAsia="Times New Roman" w:hAnsi="Calibri"/>
                <w:color w:val="000000"/>
                <w:sz w:val="16"/>
                <w:szCs w:val="16"/>
                <w:lang w:eastAsia="cs-CZ"/>
              </w:rPr>
              <w:t xml:space="preserve"> e-mailová upozornění na události</w:t>
            </w:r>
          </w:p>
        </w:tc>
        <w:tc>
          <w:tcPr>
            <w:tcW w:w="2835" w:type="dxa"/>
            <w:tcBorders>
              <w:top w:val="nil"/>
              <w:left w:val="nil"/>
              <w:bottom w:val="nil"/>
              <w:right w:val="single" w:sz="4" w:space="0" w:color="auto"/>
            </w:tcBorders>
            <w:shd w:val="clear" w:color="auto" w:fill="auto"/>
            <w:noWrap/>
            <w:vAlign w:val="bottom"/>
            <w:hideMark/>
          </w:tcPr>
          <w:p w14:paraId="5A24F32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nil"/>
              <w:right w:val="single" w:sz="8" w:space="0" w:color="auto"/>
            </w:tcBorders>
            <w:shd w:val="clear" w:color="auto" w:fill="auto"/>
            <w:noWrap/>
            <w:vAlign w:val="bottom"/>
            <w:hideMark/>
          </w:tcPr>
          <w:p w14:paraId="5691714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CF369A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7726BF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8" w:space="0" w:color="auto"/>
            </w:tcBorders>
            <w:shd w:val="clear" w:color="auto" w:fill="auto"/>
            <w:vAlign w:val="center"/>
            <w:hideMark/>
          </w:tcPr>
          <w:p w14:paraId="4BA47E1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PDU</w:t>
            </w:r>
          </w:p>
        </w:tc>
        <w:tc>
          <w:tcPr>
            <w:tcW w:w="5954" w:type="dxa"/>
            <w:tcBorders>
              <w:top w:val="single" w:sz="4" w:space="0" w:color="auto"/>
              <w:left w:val="nil"/>
              <w:bottom w:val="nil"/>
              <w:right w:val="single" w:sz="4" w:space="0" w:color="auto"/>
            </w:tcBorders>
            <w:shd w:val="clear" w:color="auto" w:fill="auto"/>
            <w:noWrap/>
            <w:vAlign w:val="center"/>
            <w:hideMark/>
          </w:tcPr>
          <w:p w14:paraId="0085AA93" w14:textId="14C71E5E"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S</w:t>
            </w:r>
            <w:r w:rsidR="008D4FC8" w:rsidRPr="008D4FC8">
              <w:rPr>
                <w:rFonts w:ascii="Calibri" w:eastAsia="Times New Roman" w:hAnsi="Calibri"/>
                <w:color w:val="000000"/>
                <w:sz w:val="16"/>
                <w:szCs w:val="16"/>
                <w:lang w:eastAsia="cs-CZ"/>
              </w:rPr>
              <w:t>oučástí dodávky bude PDU (</w:t>
            </w:r>
            <w:proofErr w:type="spellStart"/>
            <w:r w:rsidR="008D4FC8" w:rsidRPr="008D4FC8">
              <w:rPr>
                <w:rFonts w:ascii="Calibri" w:eastAsia="Times New Roman" w:hAnsi="Calibri"/>
                <w:color w:val="000000"/>
                <w:sz w:val="16"/>
                <w:szCs w:val="16"/>
                <w:lang w:eastAsia="cs-CZ"/>
              </w:rPr>
              <w:t>power</w:t>
            </w:r>
            <w:proofErr w:type="spellEnd"/>
            <w:r w:rsidR="008D4FC8" w:rsidRPr="008D4FC8">
              <w:rPr>
                <w:rFonts w:ascii="Calibri" w:eastAsia="Times New Roman" w:hAnsi="Calibri"/>
                <w:color w:val="000000"/>
                <w:sz w:val="16"/>
                <w:szCs w:val="16"/>
                <w:lang w:eastAsia="cs-CZ"/>
              </w:rPr>
              <w:t xml:space="preserve"> </w:t>
            </w:r>
            <w:proofErr w:type="spellStart"/>
            <w:r w:rsidR="008D4FC8" w:rsidRPr="008D4FC8">
              <w:rPr>
                <w:rFonts w:ascii="Calibri" w:eastAsia="Times New Roman" w:hAnsi="Calibri"/>
                <w:color w:val="000000"/>
                <w:sz w:val="16"/>
                <w:szCs w:val="16"/>
                <w:lang w:eastAsia="cs-CZ"/>
              </w:rPr>
              <w:t>distribution</w:t>
            </w:r>
            <w:proofErr w:type="spellEnd"/>
            <w:r w:rsidR="008D4FC8" w:rsidRPr="008D4FC8">
              <w:rPr>
                <w:rFonts w:ascii="Calibri" w:eastAsia="Times New Roman" w:hAnsi="Calibri"/>
                <w:color w:val="000000"/>
                <w:sz w:val="16"/>
                <w:szCs w:val="16"/>
                <w:lang w:eastAsia="cs-CZ"/>
              </w:rPr>
              <w:t xml:space="preserve"> unit) do racku, min. 10x C13, vlastní vypínač, jištění</w:t>
            </w:r>
          </w:p>
        </w:tc>
        <w:tc>
          <w:tcPr>
            <w:tcW w:w="2835" w:type="dxa"/>
            <w:tcBorders>
              <w:top w:val="single" w:sz="4" w:space="0" w:color="auto"/>
              <w:left w:val="nil"/>
              <w:bottom w:val="nil"/>
              <w:right w:val="single" w:sz="4" w:space="0" w:color="auto"/>
            </w:tcBorders>
            <w:shd w:val="clear" w:color="auto" w:fill="auto"/>
            <w:noWrap/>
            <w:vAlign w:val="bottom"/>
            <w:hideMark/>
          </w:tcPr>
          <w:p w14:paraId="22ED6CB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single" w:sz="4" w:space="0" w:color="auto"/>
              <w:left w:val="nil"/>
              <w:bottom w:val="nil"/>
              <w:right w:val="single" w:sz="8" w:space="0" w:color="auto"/>
            </w:tcBorders>
            <w:shd w:val="clear" w:color="auto" w:fill="auto"/>
            <w:noWrap/>
            <w:vAlign w:val="bottom"/>
            <w:hideMark/>
          </w:tcPr>
          <w:p w14:paraId="096FB15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032A168" w14:textId="77777777" w:rsidTr="008D4FC8">
        <w:trPr>
          <w:trHeight w:val="315"/>
        </w:trPr>
        <w:tc>
          <w:tcPr>
            <w:tcW w:w="1124" w:type="dxa"/>
            <w:vMerge/>
            <w:tcBorders>
              <w:top w:val="nil"/>
              <w:left w:val="single" w:sz="8" w:space="0" w:color="auto"/>
              <w:bottom w:val="single" w:sz="8" w:space="0" w:color="000000"/>
              <w:right w:val="single" w:sz="8" w:space="0" w:color="auto"/>
            </w:tcBorders>
            <w:vAlign w:val="center"/>
            <w:hideMark/>
          </w:tcPr>
          <w:p w14:paraId="4129045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5D988FE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Záruka</w:t>
            </w: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14:paraId="40D570AD" w14:textId="4502A7C8"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Záruka výrobce min. 24 měsíců</w:t>
            </w:r>
            <w:r>
              <w:rPr>
                <w:rFonts w:ascii="Calibri" w:eastAsia="Times New Roman" w:hAnsi="Calibri"/>
                <w:color w:val="000000"/>
                <w:sz w:val="16"/>
                <w:szCs w:val="16"/>
                <w:lang w:eastAsia="cs-CZ"/>
              </w:rPr>
              <w:t>,</w:t>
            </w:r>
            <w:r w:rsidRPr="008D4FC8">
              <w:rPr>
                <w:rFonts w:ascii="Calibri" w:eastAsia="Times New Roman" w:hAnsi="Calibri"/>
                <w:color w:val="000000"/>
                <w:sz w:val="16"/>
                <w:szCs w:val="16"/>
                <w:lang w:eastAsia="cs-CZ"/>
              </w:rPr>
              <w:t xml:space="preserve"> včetně baterií v místě instalace.</w:t>
            </w:r>
          </w:p>
        </w:tc>
        <w:tc>
          <w:tcPr>
            <w:tcW w:w="2835" w:type="dxa"/>
            <w:tcBorders>
              <w:top w:val="single" w:sz="4" w:space="0" w:color="auto"/>
              <w:left w:val="nil"/>
              <w:bottom w:val="single" w:sz="8" w:space="0" w:color="auto"/>
              <w:right w:val="single" w:sz="4" w:space="0" w:color="auto"/>
            </w:tcBorders>
            <w:shd w:val="clear" w:color="auto" w:fill="auto"/>
            <w:noWrap/>
            <w:vAlign w:val="bottom"/>
            <w:hideMark/>
          </w:tcPr>
          <w:p w14:paraId="57507BE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single" w:sz="4" w:space="0" w:color="auto"/>
              <w:left w:val="nil"/>
              <w:bottom w:val="single" w:sz="8" w:space="0" w:color="auto"/>
              <w:right w:val="single" w:sz="8" w:space="0" w:color="auto"/>
            </w:tcBorders>
            <w:shd w:val="clear" w:color="auto" w:fill="auto"/>
            <w:noWrap/>
            <w:vAlign w:val="bottom"/>
            <w:hideMark/>
          </w:tcPr>
          <w:p w14:paraId="45AF468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bl>
    <w:p w14:paraId="1048048F" w14:textId="77777777" w:rsidR="00D814AC" w:rsidRDefault="00D814AC" w:rsidP="00237F6F">
      <w:pPr>
        <w:pStyle w:val="Normln-Odstavec"/>
        <w:numPr>
          <w:ilvl w:val="0"/>
          <w:numId w:val="0"/>
        </w:numPr>
      </w:pPr>
    </w:p>
    <w:tbl>
      <w:tblPr>
        <w:tblW w:w="0" w:type="auto"/>
        <w:tblInd w:w="80" w:type="dxa"/>
        <w:tblCellMar>
          <w:left w:w="70" w:type="dxa"/>
          <w:right w:w="70" w:type="dxa"/>
        </w:tblCellMar>
        <w:tblLook w:val="04A0" w:firstRow="1" w:lastRow="0" w:firstColumn="1" w:lastColumn="0" w:noHBand="0" w:noVBand="1"/>
      </w:tblPr>
      <w:tblGrid>
        <w:gridCol w:w="1121"/>
        <w:gridCol w:w="1271"/>
        <w:gridCol w:w="5864"/>
        <w:gridCol w:w="2801"/>
        <w:gridCol w:w="2400"/>
      </w:tblGrid>
      <w:tr w:rsidR="008D4FC8" w:rsidRPr="008D4FC8" w14:paraId="4F5606F9" w14:textId="77777777" w:rsidTr="008D4FC8">
        <w:trPr>
          <w:cantSplit/>
          <w:trHeight w:val="315"/>
          <w:tblHeader/>
        </w:trPr>
        <w:tc>
          <w:tcPr>
            <w:tcW w:w="13617" w:type="dxa"/>
            <w:gridSpan w:val="5"/>
            <w:tcBorders>
              <w:top w:val="single" w:sz="8" w:space="0" w:color="auto"/>
              <w:left w:val="single" w:sz="8" w:space="0" w:color="auto"/>
              <w:bottom w:val="single" w:sz="8" w:space="0" w:color="auto"/>
              <w:right w:val="single" w:sz="8" w:space="0" w:color="000000"/>
            </w:tcBorders>
            <w:shd w:val="clear" w:color="000000" w:fill="C6D9F1"/>
            <w:vAlign w:val="center"/>
            <w:hideMark/>
          </w:tcPr>
          <w:p w14:paraId="3116B622" w14:textId="77777777" w:rsidR="008D4FC8" w:rsidRPr="008D4FC8" w:rsidRDefault="008D4FC8" w:rsidP="008D4FC8">
            <w:pPr>
              <w:spacing w:after="0"/>
              <w:jc w:val="left"/>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Komodita K3 - Sjednocení účetnictví a evidence majetku pro příspěvkové organizace</w:t>
            </w:r>
          </w:p>
        </w:tc>
      </w:tr>
      <w:tr w:rsidR="008D4FC8" w:rsidRPr="008D4FC8" w14:paraId="2ADF1A09" w14:textId="77777777" w:rsidTr="008D4FC8">
        <w:trPr>
          <w:trHeight w:val="300"/>
        </w:trPr>
        <w:tc>
          <w:tcPr>
            <w:tcW w:w="1124" w:type="dxa"/>
            <w:vMerge w:val="restart"/>
            <w:tcBorders>
              <w:top w:val="nil"/>
              <w:left w:val="single" w:sz="8" w:space="0" w:color="auto"/>
              <w:bottom w:val="single" w:sz="8" w:space="0" w:color="000000"/>
              <w:right w:val="single" w:sz="4" w:space="0" w:color="auto"/>
            </w:tcBorders>
            <w:shd w:val="clear" w:color="000000" w:fill="F2F2F2"/>
            <w:vAlign w:val="center"/>
            <w:hideMark/>
          </w:tcPr>
          <w:p w14:paraId="32566962"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Část</w:t>
            </w:r>
          </w:p>
        </w:tc>
        <w:tc>
          <w:tcPr>
            <w:tcW w:w="1276"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38158FCC"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Parametr</w:t>
            </w:r>
          </w:p>
        </w:tc>
        <w:tc>
          <w:tcPr>
            <w:tcW w:w="5954"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2E3A4B9E"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Popis povinného parametru</w:t>
            </w:r>
          </w:p>
        </w:tc>
        <w:tc>
          <w:tcPr>
            <w:tcW w:w="2835"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0D73C352"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Uchazeč popíše způsob naplnění tohoto povinného parametru včetně značkové specifikace nabízených dodávek</w:t>
            </w:r>
          </w:p>
        </w:tc>
        <w:tc>
          <w:tcPr>
            <w:tcW w:w="2428" w:type="dxa"/>
            <w:vMerge w:val="restart"/>
            <w:tcBorders>
              <w:top w:val="nil"/>
              <w:left w:val="single" w:sz="4" w:space="0" w:color="auto"/>
              <w:bottom w:val="single" w:sz="8" w:space="0" w:color="000000"/>
              <w:right w:val="single" w:sz="8" w:space="0" w:color="auto"/>
            </w:tcBorders>
            <w:shd w:val="clear" w:color="000000" w:fill="F2F2F2"/>
            <w:vAlign w:val="center"/>
            <w:hideMark/>
          </w:tcPr>
          <w:p w14:paraId="2D18C8E1" w14:textId="77777777" w:rsidR="008D4FC8" w:rsidRPr="008D4FC8" w:rsidRDefault="008D4FC8" w:rsidP="008D4FC8">
            <w:pPr>
              <w:spacing w:after="0"/>
              <w:jc w:val="center"/>
              <w:rPr>
                <w:rFonts w:ascii="Arial" w:eastAsia="Times New Roman" w:hAnsi="Arial" w:cs="Arial"/>
                <w:b/>
                <w:bCs/>
                <w:color w:val="000000"/>
                <w:sz w:val="16"/>
                <w:szCs w:val="16"/>
                <w:lang w:eastAsia="cs-CZ"/>
              </w:rPr>
            </w:pPr>
            <w:r w:rsidRPr="008D4FC8">
              <w:rPr>
                <w:rFonts w:ascii="Arial" w:eastAsia="Times New Roman" w:hAnsi="Arial" w:cs="Arial"/>
                <w:b/>
                <w:bCs/>
                <w:color w:val="000000"/>
                <w:sz w:val="16"/>
                <w:szCs w:val="16"/>
                <w:lang w:eastAsia="cs-CZ"/>
              </w:rPr>
              <w:t>Uchazeč uvede odkaz na přiloženou část nabídky, kde je možné ověřit naplnění parametru</w:t>
            </w:r>
          </w:p>
        </w:tc>
      </w:tr>
      <w:tr w:rsidR="008D4FC8" w:rsidRPr="008D4FC8" w14:paraId="2B2BE6AD" w14:textId="77777777" w:rsidTr="008D4FC8">
        <w:trPr>
          <w:trHeight w:val="315"/>
        </w:trPr>
        <w:tc>
          <w:tcPr>
            <w:tcW w:w="1124" w:type="dxa"/>
            <w:vMerge/>
            <w:tcBorders>
              <w:top w:val="nil"/>
              <w:left w:val="single" w:sz="8" w:space="0" w:color="auto"/>
              <w:bottom w:val="single" w:sz="8" w:space="0" w:color="000000"/>
              <w:right w:val="single" w:sz="4" w:space="0" w:color="auto"/>
            </w:tcBorders>
            <w:vAlign w:val="center"/>
            <w:hideMark/>
          </w:tcPr>
          <w:p w14:paraId="4BF68AE2"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c>
          <w:tcPr>
            <w:tcW w:w="1276" w:type="dxa"/>
            <w:vMerge/>
            <w:tcBorders>
              <w:top w:val="nil"/>
              <w:left w:val="single" w:sz="4" w:space="0" w:color="auto"/>
              <w:bottom w:val="single" w:sz="8" w:space="0" w:color="000000"/>
              <w:right w:val="single" w:sz="4" w:space="0" w:color="auto"/>
            </w:tcBorders>
            <w:vAlign w:val="center"/>
            <w:hideMark/>
          </w:tcPr>
          <w:p w14:paraId="4C3AE21B"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c>
          <w:tcPr>
            <w:tcW w:w="5954" w:type="dxa"/>
            <w:vMerge/>
            <w:tcBorders>
              <w:top w:val="nil"/>
              <w:left w:val="single" w:sz="4" w:space="0" w:color="auto"/>
              <w:bottom w:val="single" w:sz="8" w:space="0" w:color="000000"/>
              <w:right w:val="single" w:sz="4" w:space="0" w:color="auto"/>
            </w:tcBorders>
            <w:vAlign w:val="center"/>
            <w:hideMark/>
          </w:tcPr>
          <w:p w14:paraId="0A011621"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c>
          <w:tcPr>
            <w:tcW w:w="2835" w:type="dxa"/>
            <w:vMerge/>
            <w:tcBorders>
              <w:top w:val="nil"/>
              <w:left w:val="single" w:sz="4" w:space="0" w:color="auto"/>
              <w:bottom w:val="single" w:sz="8" w:space="0" w:color="000000"/>
              <w:right w:val="single" w:sz="4" w:space="0" w:color="auto"/>
            </w:tcBorders>
            <w:vAlign w:val="center"/>
            <w:hideMark/>
          </w:tcPr>
          <w:p w14:paraId="66BAAE2D"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c>
          <w:tcPr>
            <w:tcW w:w="2428" w:type="dxa"/>
            <w:vMerge/>
            <w:tcBorders>
              <w:top w:val="nil"/>
              <w:left w:val="single" w:sz="4" w:space="0" w:color="auto"/>
              <w:bottom w:val="single" w:sz="8" w:space="0" w:color="000000"/>
              <w:right w:val="single" w:sz="8" w:space="0" w:color="auto"/>
            </w:tcBorders>
            <w:vAlign w:val="center"/>
            <w:hideMark/>
          </w:tcPr>
          <w:p w14:paraId="22B8EB69" w14:textId="77777777" w:rsidR="008D4FC8" w:rsidRPr="008D4FC8" w:rsidRDefault="008D4FC8" w:rsidP="008D4FC8">
            <w:pPr>
              <w:spacing w:after="0"/>
              <w:jc w:val="left"/>
              <w:rPr>
                <w:rFonts w:ascii="Arial" w:eastAsia="Times New Roman" w:hAnsi="Arial" w:cs="Arial"/>
                <w:b/>
                <w:bCs/>
                <w:color w:val="000000"/>
                <w:sz w:val="16"/>
                <w:szCs w:val="16"/>
                <w:lang w:eastAsia="cs-CZ"/>
              </w:rPr>
            </w:pPr>
          </w:p>
        </w:tc>
      </w:tr>
      <w:tr w:rsidR="008D4FC8" w:rsidRPr="008D4FC8" w14:paraId="5C9B575A" w14:textId="77777777" w:rsidTr="008D4FC8">
        <w:trPr>
          <w:trHeight w:val="300"/>
        </w:trPr>
        <w:tc>
          <w:tcPr>
            <w:tcW w:w="1124" w:type="dxa"/>
            <w:vMerge w:val="restart"/>
            <w:tcBorders>
              <w:top w:val="single" w:sz="8" w:space="0" w:color="auto"/>
              <w:left w:val="single" w:sz="8" w:space="0" w:color="auto"/>
              <w:bottom w:val="nil"/>
              <w:right w:val="single" w:sz="8" w:space="0" w:color="auto"/>
            </w:tcBorders>
            <w:shd w:val="clear" w:color="auto" w:fill="auto"/>
            <w:vAlign w:val="center"/>
            <w:hideMark/>
          </w:tcPr>
          <w:p w14:paraId="4E3D31EB"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Společné požadavky</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1CB0F19E"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Metodika</w:t>
            </w:r>
          </w:p>
        </w:tc>
        <w:tc>
          <w:tcPr>
            <w:tcW w:w="5954" w:type="dxa"/>
            <w:tcBorders>
              <w:top w:val="nil"/>
              <w:left w:val="nil"/>
              <w:bottom w:val="single" w:sz="4" w:space="0" w:color="auto"/>
              <w:right w:val="single" w:sz="4" w:space="0" w:color="auto"/>
            </w:tcBorders>
            <w:shd w:val="clear" w:color="auto" w:fill="auto"/>
            <w:vAlign w:val="center"/>
            <w:hideMark/>
          </w:tcPr>
          <w:p w14:paraId="4B320DCB"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Možnost sjednocené metodika</w:t>
            </w:r>
          </w:p>
        </w:tc>
        <w:tc>
          <w:tcPr>
            <w:tcW w:w="2835" w:type="dxa"/>
            <w:tcBorders>
              <w:top w:val="nil"/>
              <w:left w:val="nil"/>
              <w:bottom w:val="single" w:sz="4" w:space="0" w:color="auto"/>
              <w:right w:val="single" w:sz="4" w:space="0" w:color="auto"/>
            </w:tcBorders>
            <w:shd w:val="clear" w:color="auto" w:fill="auto"/>
            <w:vAlign w:val="bottom"/>
            <w:hideMark/>
          </w:tcPr>
          <w:p w14:paraId="5A4804F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7F2E72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7247D51"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4E7305C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DB10386"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Správa</w:t>
            </w:r>
          </w:p>
        </w:tc>
        <w:tc>
          <w:tcPr>
            <w:tcW w:w="5954" w:type="dxa"/>
            <w:tcBorders>
              <w:top w:val="nil"/>
              <w:left w:val="nil"/>
              <w:bottom w:val="single" w:sz="4" w:space="0" w:color="auto"/>
              <w:right w:val="single" w:sz="4" w:space="0" w:color="auto"/>
            </w:tcBorders>
            <w:shd w:val="clear" w:color="auto" w:fill="auto"/>
            <w:vAlign w:val="center"/>
            <w:hideMark/>
          </w:tcPr>
          <w:p w14:paraId="7AE104EA"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Centralizovaná správa a administrace</w:t>
            </w:r>
          </w:p>
        </w:tc>
        <w:tc>
          <w:tcPr>
            <w:tcW w:w="2835" w:type="dxa"/>
            <w:tcBorders>
              <w:top w:val="nil"/>
              <w:left w:val="nil"/>
              <w:bottom w:val="single" w:sz="4" w:space="0" w:color="auto"/>
              <w:right w:val="single" w:sz="4" w:space="0" w:color="auto"/>
            </w:tcBorders>
            <w:shd w:val="clear" w:color="auto" w:fill="auto"/>
            <w:vAlign w:val="bottom"/>
            <w:hideMark/>
          </w:tcPr>
          <w:p w14:paraId="2586920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69CC45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DFCF4A9"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0DE86C1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888464A"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Kompatibilita</w:t>
            </w:r>
          </w:p>
        </w:tc>
        <w:tc>
          <w:tcPr>
            <w:tcW w:w="5954" w:type="dxa"/>
            <w:tcBorders>
              <w:top w:val="nil"/>
              <w:left w:val="nil"/>
              <w:bottom w:val="single" w:sz="4" w:space="0" w:color="auto"/>
              <w:right w:val="single" w:sz="4" w:space="0" w:color="auto"/>
            </w:tcBorders>
            <w:shd w:val="clear" w:color="auto" w:fill="auto"/>
            <w:vAlign w:val="center"/>
            <w:hideMark/>
          </w:tcPr>
          <w:p w14:paraId="0EFD4FBD"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Možnost běhu v TC, </w:t>
            </w:r>
            <w:proofErr w:type="spellStart"/>
            <w:r w:rsidRPr="008D4FC8">
              <w:rPr>
                <w:rFonts w:ascii="Calibri" w:eastAsia="Times New Roman" w:hAnsi="Calibri"/>
                <w:color w:val="000000"/>
                <w:sz w:val="16"/>
                <w:szCs w:val="16"/>
                <w:lang w:eastAsia="cs-CZ"/>
              </w:rPr>
              <w:t>kombatibilita</w:t>
            </w:r>
            <w:proofErr w:type="spellEnd"/>
            <w:r w:rsidRPr="008D4FC8">
              <w:rPr>
                <w:rFonts w:ascii="Calibri" w:eastAsia="Times New Roman" w:hAnsi="Calibri"/>
                <w:color w:val="000000"/>
                <w:sz w:val="16"/>
                <w:szCs w:val="16"/>
                <w:lang w:eastAsia="cs-CZ"/>
              </w:rPr>
              <w:t xml:space="preserve"> se systémem virtualizace aplikací</w:t>
            </w:r>
          </w:p>
        </w:tc>
        <w:tc>
          <w:tcPr>
            <w:tcW w:w="2835" w:type="dxa"/>
            <w:tcBorders>
              <w:top w:val="nil"/>
              <w:left w:val="nil"/>
              <w:bottom w:val="single" w:sz="4" w:space="0" w:color="auto"/>
              <w:right w:val="single" w:sz="4" w:space="0" w:color="auto"/>
            </w:tcBorders>
            <w:shd w:val="clear" w:color="auto" w:fill="auto"/>
            <w:vAlign w:val="bottom"/>
            <w:hideMark/>
          </w:tcPr>
          <w:p w14:paraId="26E8CAB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BB6C6F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A0EADED"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2C42D0E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1A563CFD"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Zálohování</w:t>
            </w:r>
          </w:p>
        </w:tc>
        <w:tc>
          <w:tcPr>
            <w:tcW w:w="5954" w:type="dxa"/>
            <w:tcBorders>
              <w:top w:val="nil"/>
              <w:left w:val="nil"/>
              <w:bottom w:val="single" w:sz="4" w:space="0" w:color="auto"/>
              <w:right w:val="single" w:sz="4" w:space="0" w:color="auto"/>
            </w:tcBorders>
            <w:shd w:val="clear" w:color="auto" w:fill="auto"/>
            <w:vAlign w:val="center"/>
            <w:hideMark/>
          </w:tcPr>
          <w:p w14:paraId="796E796B"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Automatické zálohování</w:t>
            </w:r>
          </w:p>
        </w:tc>
        <w:tc>
          <w:tcPr>
            <w:tcW w:w="2835" w:type="dxa"/>
            <w:tcBorders>
              <w:top w:val="nil"/>
              <w:left w:val="nil"/>
              <w:bottom w:val="single" w:sz="4" w:space="0" w:color="auto"/>
              <w:right w:val="single" w:sz="4" w:space="0" w:color="auto"/>
            </w:tcBorders>
            <w:shd w:val="clear" w:color="auto" w:fill="auto"/>
            <w:vAlign w:val="bottom"/>
            <w:hideMark/>
          </w:tcPr>
          <w:p w14:paraId="1E34F0F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00CE73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EA50591" w14:textId="77777777" w:rsidTr="008D4FC8">
        <w:trPr>
          <w:trHeight w:val="315"/>
        </w:trPr>
        <w:tc>
          <w:tcPr>
            <w:tcW w:w="1124" w:type="dxa"/>
            <w:vMerge/>
            <w:tcBorders>
              <w:top w:val="single" w:sz="8" w:space="0" w:color="auto"/>
              <w:left w:val="single" w:sz="8" w:space="0" w:color="auto"/>
              <w:bottom w:val="nil"/>
              <w:right w:val="single" w:sz="8" w:space="0" w:color="auto"/>
            </w:tcBorders>
            <w:vAlign w:val="center"/>
            <w:hideMark/>
          </w:tcPr>
          <w:p w14:paraId="603336A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7C3E761"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Záruka</w:t>
            </w:r>
          </w:p>
        </w:tc>
        <w:tc>
          <w:tcPr>
            <w:tcW w:w="5954" w:type="dxa"/>
            <w:tcBorders>
              <w:top w:val="nil"/>
              <w:left w:val="nil"/>
              <w:bottom w:val="single" w:sz="4" w:space="0" w:color="auto"/>
              <w:right w:val="single" w:sz="4" w:space="0" w:color="auto"/>
            </w:tcBorders>
            <w:shd w:val="clear" w:color="auto" w:fill="auto"/>
            <w:vAlign w:val="center"/>
            <w:hideMark/>
          </w:tcPr>
          <w:p w14:paraId="219037C0"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12 měsíců</w:t>
            </w:r>
          </w:p>
        </w:tc>
        <w:tc>
          <w:tcPr>
            <w:tcW w:w="2835" w:type="dxa"/>
            <w:tcBorders>
              <w:top w:val="nil"/>
              <w:left w:val="nil"/>
              <w:bottom w:val="single" w:sz="4" w:space="0" w:color="auto"/>
              <w:right w:val="single" w:sz="4" w:space="0" w:color="auto"/>
            </w:tcBorders>
            <w:shd w:val="clear" w:color="auto" w:fill="auto"/>
            <w:vAlign w:val="bottom"/>
            <w:hideMark/>
          </w:tcPr>
          <w:p w14:paraId="34B78D7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00BB5B2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084A6DC" w14:textId="77777777" w:rsidTr="00AD4233">
        <w:trPr>
          <w:trHeight w:val="599"/>
        </w:trPr>
        <w:tc>
          <w:tcPr>
            <w:tcW w:w="1124" w:type="dxa"/>
            <w:vMerge w:val="restart"/>
            <w:tcBorders>
              <w:top w:val="single" w:sz="8" w:space="0" w:color="auto"/>
              <w:left w:val="single" w:sz="8" w:space="0" w:color="auto"/>
              <w:bottom w:val="nil"/>
              <w:right w:val="single" w:sz="8" w:space="0" w:color="auto"/>
            </w:tcBorders>
            <w:shd w:val="clear" w:color="auto" w:fill="auto"/>
            <w:vAlign w:val="center"/>
            <w:hideMark/>
          </w:tcPr>
          <w:p w14:paraId="0BD36512"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Účetnictví a rozpočet</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47D916E7"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Obecné požadavky</w:t>
            </w:r>
          </w:p>
        </w:tc>
        <w:tc>
          <w:tcPr>
            <w:tcW w:w="5954" w:type="dxa"/>
            <w:tcBorders>
              <w:top w:val="single" w:sz="8" w:space="0" w:color="auto"/>
              <w:left w:val="nil"/>
              <w:bottom w:val="single" w:sz="4" w:space="0" w:color="auto"/>
              <w:right w:val="single" w:sz="4" w:space="0" w:color="auto"/>
            </w:tcBorders>
            <w:shd w:val="clear" w:color="auto" w:fill="auto"/>
            <w:vAlign w:val="center"/>
            <w:hideMark/>
          </w:tcPr>
          <w:p w14:paraId="6E507651"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Zpracování podvojného účetnictví a rozpočtu v  příspěvkových organizacích, svou stavbou vyhovovat ustanovením zákona o účetnictví a obsahovat strukturu dat, která zabezpečuje splnění nároků na vedení účetnictví podle platné směrné účtové osnovy</w:t>
            </w:r>
          </w:p>
        </w:tc>
        <w:tc>
          <w:tcPr>
            <w:tcW w:w="2835" w:type="dxa"/>
            <w:tcBorders>
              <w:top w:val="single" w:sz="8" w:space="0" w:color="auto"/>
              <w:left w:val="nil"/>
              <w:bottom w:val="single" w:sz="4" w:space="0" w:color="auto"/>
              <w:right w:val="single" w:sz="4" w:space="0" w:color="auto"/>
            </w:tcBorders>
            <w:shd w:val="clear" w:color="auto" w:fill="auto"/>
            <w:vAlign w:val="bottom"/>
            <w:hideMark/>
          </w:tcPr>
          <w:p w14:paraId="1FD7F43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single" w:sz="8" w:space="0" w:color="auto"/>
              <w:left w:val="nil"/>
              <w:bottom w:val="single" w:sz="4" w:space="0" w:color="auto"/>
              <w:right w:val="single" w:sz="8" w:space="0" w:color="auto"/>
            </w:tcBorders>
            <w:shd w:val="clear" w:color="auto" w:fill="auto"/>
            <w:vAlign w:val="bottom"/>
            <w:hideMark/>
          </w:tcPr>
          <w:p w14:paraId="3AC0C64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0BA6D2A" w14:textId="77777777" w:rsidTr="00AD4233">
        <w:trPr>
          <w:trHeight w:val="409"/>
        </w:trPr>
        <w:tc>
          <w:tcPr>
            <w:tcW w:w="1124" w:type="dxa"/>
            <w:vMerge/>
            <w:tcBorders>
              <w:top w:val="single" w:sz="8" w:space="0" w:color="auto"/>
              <w:left w:val="single" w:sz="8" w:space="0" w:color="auto"/>
              <w:bottom w:val="nil"/>
              <w:right w:val="single" w:sz="8" w:space="0" w:color="auto"/>
            </w:tcBorders>
            <w:vAlign w:val="center"/>
            <w:hideMark/>
          </w:tcPr>
          <w:p w14:paraId="4C01F77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27ED318"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674EACD" w14:textId="371CBF8E"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R</w:t>
            </w:r>
            <w:r w:rsidR="008D4FC8" w:rsidRPr="008D4FC8">
              <w:rPr>
                <w:rFonts w:ascii="Calibri" w:eastAsia="Times New Roman" w:hAnsi="Calibri"/>
                <w:color w:val="000000"/>
                <w:sz w:val="16"/>
                <w:szCs w:val="16"/>
                <w:lang w:eastAsia="cs-CZ"/>
              </w:rPr>
              <w:t>uční pořízení dat s možností přepínání z předem nadefinovaných účetních souvztažností, zadávání dat pomocí automatických předkontací</w:t>
            </w:r>
          </w:p>
        </w:tc>
        <w:tc>
          <w:tcPr>
            <w:tcW w:w="2835" w:type="dxa"/>
            <w:tcBorders>
              <w:top w:val="nil"/>
              <w:left w:val="nil"/>
              <w:bottom w:val="single" w:sz="4" w:space="0" w:color="auto"/>
              <w:right w:val="single" w:sz="4" w:space="0" w:color="auto"/>
            </w:tcBorders>
            <w:shd w:val="clear" w:color="auto" w:fill="auto"/>
            <w:vAlign w:val="bottom"/>
            <w:hideMark/>
          </w:tcPr>
          <w:p w14:paraId="5E60A55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CB32C6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3EA8E1C"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4AFABBA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FFCBB06"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D9F9D1C" w14:textId="065D2284"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U</w:t>
            </w:r>
            <w:r w:rsidR="008D4FC8" w:rsidRPr="008D4FC8">
              <w:rPr>
                <w:rFonts w:ascii="Calibri" w:eastAsia="Times New Roman" w:hAnsi="Calibri"/>
                <w:color w:val="000000"/>
                <w:sz w:val="16"/>
                <w:szCs w:val="16"/>
                <w:lang w:eastAsia="cs-CZ"/>
              </w:rPr>
              <w:t xml:space="preserve">živatelská možnost </w:t>
            </w:r>
            <w:proofErr w:type="spellStart"/>
            <w:r w:rsidR="008D4FC8" w:rsidRPr="008D4FC8">
              <w:rPr>
                <w:rFonts w:ascii="Calibri" w:eastAsia="Times New Roman" w:hAnsi="Calibri"/>
                <w:color w:val="000000"/>
                <w:sz w:val="16"/>
                <w:szCs w:val="16"/>
                <w:lang w:eastAsia="cs-CZ"/>
              </w:rPr>
              <w:t>vvběru</w:t>
            </w:r>
            <w:proofErr w:type="spellEnd"/>
            <w:r w:rsidR="008D4FC8" w:rsidRPr="008D4FC8">
              <w:rPr>
                <w:rFonts w:ascii="Calibri" w:eastAsia="Times New Roman" w:hAnsi="Calibri"/>
                <w:color w:val="000000"/>
                <w:sz w:val="16"/>
                <w:szCs w:val="16"/>
                <w:lang w:eastAsia="cs-CZ"/>
              </w:rPr>
              <w:t> způsobu zadávání dat</w:t>
            </w:r>
          </w:p>
        </w:tc>
        <w:tc>
          <w:tcPr>
            <w:tcW w:w="2835" w:type="dxa"/>
            <w:tcBorders>
              <w:top w:val="nil"/>
              <w:left w:val="nil"/>
              <w:bottom w:val="single" w:sz="4" w:space="0" w:color="auto"/>
              <w:right w:val="single" w:sz="4" w:space="0" w:color="auto"/>
            </w:tcBorders>
            <w:shd w:val="clear" w:color="auto" w:fill="auto"/>
            <w:vAlign w:val="bottom"/>
            <w:hideMark/>
          </w:tcPr>
          <w:p w14:paraId="1F5B236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0669CD0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BD4896B"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785A8D7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4F28232"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2679A231" w14:textId="676B6E5F"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8D4FC8" w:rsidRPr="008D4FC8">
              <w:rPr>
                <w:rFonts w:ascii="Calibri" w:eastAsia="Times New Roman" w:hAnsi="Calibri"/>
                <w:color w:val="000000"/>
                <w:sz w:val="16"/>
                <w:szCs w:val="16"/>
                <w:lang w:eastAsia="cs-CZ"/>
              </w:rPr>
              <w:t xml:space="preserve">ožnost zadávání textových popisů jednotlivých řádků a dokladů </w:t>
            </w:r>
          </w:p>
        </w:tc>
        <w:tc>
          <w:tcPr>
            <w:tcW w:w="2835" w:type="dxa"/>
            <w:tcBorders>
              <w:top w:val="nil"/>
              <w:left w:val="nil"/>
              <w:bottom w:val="single" w:sz="4" w:space="0" w:color="auto"/>
              <w:right w:val="single" w:sz="4" w:space="0" w:color="auto"/>
            </w:tcBorders>
            <w:shd w:val="clear" w:color="auto" w:fill="auto"/>
            <w:vAlign w:val="bottom"/>
            <w:hideMark/>
          </w:tcPr>
          <w:p w14:paraId="234FE61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B3B450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76ABDDA" w14:textId="77777777" w:rsidTr="00AD4233">
        <w:trPr>
          <w:trHeight w:val="467"/>
        </w:trPr>
        <w:tc>
          <w:tcPr>
            <w:tcW w:w="1124" w:type="dxa"/>
            <w:vMerge/>
            <w:tcBorders>
              <w:top w:val="single" w:sz="8" w:space="0" w:color="auto"/>
              <w:left w:val="single" w:sz="8" w:space="0" w:color="auto"/>
              <w:bottom w:val="nil"/>
              <w:right w:val="single" w:sz="8" w:space="0" w:color="auto"/>
            </w:tcBorders>
            <w:vAlign w:val="center"/>
            <w:hideMark/>
          </w:tcPr>
          <w:p w14:paraId="63A8A03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7174FB8"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345A3BB5" w14:textId="2D5BD9A8"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8D4FC8" w:rsidRPr="008D4FC8">
              <w:rPr>
                <w:rFonts w:ascii="Calibri" w:eastAsia="Times New Roman" w:hAnsi="Calibri"/>
                <w:color w:val="000000"/>
                <w:sz w:val="16"/>
                <w:szCs w:val="16"/>
                <w:lang w:eastAsia="cs-CZ"/>
              </w:rPr>
              <w:t>ožnost definovat přístupová práva pro konkrétní oso</w:t>
            </w:r>
            <w:r>
              <w:rPr>
                <w:rFonts w:ascii="Calibri" w:eastAsia="Times New Roman" w:hAnsi="Calibri"/>
                <w:color w:val="000000"/>
                <w:sz w:val="16"/>
                <w:szCs w:val="16"/>
                <w:lang w:eastAsia="cs-CZ"/>
              </w:rPr>
              <w:t xml:space="preserve">by z hlediska jejich přístupu k </w:t>
            </w:r>
            <w:r w:rsidR="008D4FC8" w:rsidRPr="008D4FC8">
              <w:rPr>
                <w:rFonts w:ascii="Calibri" w:eastAsia="Times New Roman" w:hAnsi="Calibri"/>
                <w:color w:val="000000"/>
                <w:sz w:val="16"/>
                <w:szCs w:val="16"/>
                <w:lang w:eastAsia="cs-CZ"/>
              </w:rPr>
              <w:t>datům, účtovému rozvrhu nebo spouštěným funkcím programu.</w:t>
            </w:r>
          </w:p>
        </w:tc>
        <w:tc>
          <w:tcPr>
            <w:tcW w:w="2835" w:type="dxa"/>
            <w:tcBorders>
              <w:top w:val="nil"/>
              <w:left w:val="nil"/>
              <w:bottom w:val="single" w:sz="4" w:space="0" w:color="auto"/>
              <w:right w:val="single" w:sz="4" w:space="0" w:color="auto"/>
            </w:tcBorders>
            <w:shd w:val="clear" w:color="auto" w:fill="auto"/>
            <w:vAlign w:val="bottom"/>
            <w:hideMark/>
          </w:tcPr>
          <w:p w14:paraId="04B15DE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236B536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AD16F01" w14:textId="77777777" w:rsidTr="008D4FC8">
        <w:trPr>
          <w:trHeight w:val="450"/>
        </w:trPr>
        <w:tc>
          <w:tcPr>
            <w:tcW w:w="1124" w:type="dxa"/>
            <w:vMerge/>
            <w:tcBorders>
              <w:top w:val="single" w:sz="8" w:space="0" w:color="auto"/>
              <w:left w:val="single" w:sz="8" w:space="0" w:color="auto"/>
              <w:bottom w:val="nil"/>
              <w:right w:val="single" w:sz="8" w:space="0" w:color="auto"/>
            </w:tcBorders>
            <w:vAlign w:val="center"/>
            <w:hideMark/>
          </w:tcPr>
          <w:p w14:paraId="0502399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1678D07"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3C9A0A1A" w14:textId="6C12FB46"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8D4FC8" w:rsidRPr="008D4FC8">
              <w:rPr>
                <w:rFonts w:ascii="Calibri" w:eastAsia="Times New Roman" w:hAnsi="Calibri"/>
                <w:color w:val="000000"/>
                <w:sz w:val="16"/>
                <w:szCs w:val="16"/>
                <w:lang w:eastAsia="cs-CZ"/>
              </w:rPr>
              <w:t>ožnost vytvářet revizní záznamy ve všech typech dat a zároveň také protokol o všech aktivitách osob k daným programovým fázím</w:t>
            </w:r>
          </w:p>
        </w:tc>
        <w:tc>
          <w:tcPr>
            <w:tcW w:w="2835" w:type="dxa"/>
            <w:tcBorders>
              <w:top w:val="nil"/>
              <w:left w:val="nil"/>
              <w:bottom w:val="single" w:sz="4" w:space="0" w:color="auto"/>
              <w:right w:val="single" w:sz="4" w:space="0" w:color="auto"/>
            </w:tcBorders>
            <w:shd w:val="clear" w:color="auto" w:fill="auto"/>
            <w:vAlign w:val="bottom"/>
            <w:hideMark/>
          </w:tcPr>
          <w:p w14:paraId="7C82690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20311D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C829473" w14:textId="77777777" w:rsidTr="00AD4233">
        <w:trPr>
          <w:trHeight w:val="366"/>
        </w:trPr>
        <w:tc>
          <w:tcPr>
            <w:tcW w:w="1124" w:type="dxa"/>
            <w:vMerge/>
            <w:tcBorders>
              <w:top w:val="single" w:sz="8" w:space="0" w:color="auto"/>
              <w:left w:val="single" w:sz="8" w:space="0" w:color="auto"/>
              <w:bottom w:val="nil"/>
              <w:right w:val="single" w:sz="8" w:space="0" w:color="auto"/>
            </w:tcBorders>
            <w:vAlign w:val="center"/>
            <w:hideMark/>
          </w:tcPr>
          <w:p w14:paraId="0F9C4EC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A872B30"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2E90DD27" w14:textId="0FAE746A"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V</w:t>
            </w:r>
            <w:r w:rsidR="008D4FC8" w:rsidRPr="008D4FC8">
              <w:rPr>
                <w:rFonts w:ascii="Calibri" w:eastAsia="Times New Roman" w:hAnsi="Calibri"/>
                <w:color w:val="000000"/>
                <w:sz w:val="16"/>
                <w:szCs w:val="16"/>
                <w:lang w:eastAsia="cs-CZ"/>
              </w:rPr>
              <w:t> rozvrhu vést evidenci vnitřních organizačních jednotek, kompetencí, dlužníků, středisek atp. a využívat vazby na příslušnou účtovou skupinu nebo účet</w:t>
            </w:r>
          </w:p>
        </w:tc>
        <w:tc>
          <w:tcPr>
            <w:tcW w:w="2835" w:type="dxa"/>
            <w:tcBorders>
              <w:top w:val="nil"/>
              <w:left w:val="nil"/>
              <w:bottom w:val="single" w:sz="4" w:space="0" w:color="auto"/>
              <w:right w:val="single" w:sz="4" w:space="0" w:color="auto"/>
            </w:tcBorders>
            <w:shd w:val="clear" w:color="auto" w:fill="auto"/>
            <w:vAlign w:val="bottom"/>
            <w:hideMark/>
          </w:tcPr>
          <w:p w14:paraId="0680FFC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DE2452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1DDC3BE"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0885BF9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E14E0F3"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20687DE" w14:textId="5DBC82C6"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K</w:t>
            </w:r>
            <w:r w:rsidR="008D4FC8" w:rsidRPr="008D4FC8">
              <w:rPr>
                <w:rFonts w:ascii="Calibri" w:eastAsia="Times New Roman" w:hAnsi="Calibri"/>
                <w:color w:val="000000"/>
                <w:sz w:val="16"/>
                <w:szCs w:val="16"/>
                <w:lang w:eastAsia="cs-CZ"/>
              </w:rPr>
              <w:t>onfigurace programu pomocí změn jeho parametrů</w:t>
            </w:r>
          </w:p>
        </w:tc>
        <w:tc>
          <w:tcPr>
            <w:tcW w:w="2835" w:type="dxa"/>
            <w:tcBorders>
              <w:top w:val="nil"/>
              <w:left w:val="nil"/>
              <w:bottom w:val="single" w:sz="4" w:space="0" w:color="auto"/>
              <w:right w:val="single" w:sz="4" w:space="0" w:color="auto"/>
            </w:tcBorders>
            <w:shd w:val="clear" w:color="auto" w:fill="auto"/>
            <w:vAlign w:val="bottom"/>
            <w:hideMark/>
          </w:tcPr>
          <w:p w14:paraId="5F97355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6E59DA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D2CB6B4" w14:textId="77777777" w:rsidTr="00AD4233">
        <w:trPr>
          <w:trHeight w:val="633"/>
        </w:trPr>
        <w:tc>
          <w:tcPr>
            <w:tcW w:w="1124" w:type="dxa"/>
            <w:vMerge/>
            <w:tcBorders>
              <w:top w:val="single" w:sz="8" w:space="0" w:color="auto"/>
              <w:left w:val="single" w:sz="8" w:space="0" w:color="auto"/>
              <w:bottom w:val="nil"/>
              <w:right w:val="single" w:sz="8" w:space="0" w:color="auto"/>
            </w:tcBorders>
            <w:vAlign w:val="center"/>
            <w:hideMark/>
          </w:tcPr>
          <w:p w14:paraId="63AB331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39D36533"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7DDE34AF" w14:textId="0DA14B5F"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O</w:t>
            </w:r>
            <w:r w:rsidR="008D4FC8" w:rsidRPr="008D4FC8">
              <w:rPr>
                <w:rFonts w:ascii="Calibri" w:eastAsia="Times New Roman" w:hAnsi="Calibri"/>
                <w:color w:val="000000"/>
                <w:sz w:val="16"/>
                <w:szCs w:val="16"/>
                <w:lang w:eastAsia="cs-CZ"/>
              </w:rPr>
              <w:t>dlišení dat počátečních stavů, běžného účtování, závěrečných zápisů, uzavíracích zápisů, rozpočtu stanoveného (schváleného na počátku roku), jednotlivé druhy úprav rozpočtu</w:t>
            </w:r>
          </w:p>
        </w:tc>
        <w:tc>
          <w:tcPr>
            <w:tcW w:w="2835" w:type="dxa"/>
            <w:tcBorders>
              <w:top w:val="nil"/>
              <w:left w:val="nil"/>
              <w:bottom w:val="single" w:sz="4" w:space="0" w:color="auto"/>
              <w:right w:val="single" w:sz="4" w:space="0" w:color="auto"/>
            </w:tcBorders>
            <w:shd w:val="clear" w:color="auto" w:fill="auto"/>
            <w:vAlign w:val="bottom"/>
            <w:hideMark/>
          </w:tcPr>
          <w:p w14:paraId="509811A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4E981F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0E348A8" w14:textId="77777777" w:rsidTr="008D4FC8">
        <w:trPr>
          <w:trHeight w:val="900"/>
        </w:trPr>
        <w:tc>
          <w:tcPr>
            <w:tcW w:w="1124" w:type="dxa"/>
            <w:vMerge/>
            <w:tcBorders>
              <w:top w:val="single" w:sz="8" w:space="0" w:color="auto"/>
              <w:left w:val="single" w:sz="8" w:space="0" w:color="auto"/>
              <w:bottom w:val="nil"/>
              <w:right w:val="single" w:sz="8" w:space="0" w:color="auto"/>
            </w:tcBorders>
            <w:vAlign w:val="center"/>
            <w:hideMark/>
          </w:tcPr>
          <w:p w14:paraId="7769F18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3663B597"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2A3A2AEA" w14:textId="2E5EE9C4"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8D4FC8" w:rsidRPr="008D4FC8">
              <w:rPr>
                <w:rFonts w:ascii="Calibri" w:eastAsia="Times New Roman" w:hAnsi="Calibri"/>
                <w:color w:val="000000"/>
                <w:sz w:val="16"/>
                <w:szCs w:val="16"/>
                <w:lang w:eastAsia="cs-CZ"/>
              </w:rPr>
              <w:t>ožnost vstoupit do uzavřeného období (bez možnosti oprav a pořizování dokladů) a provádět zpětné tisky a výstupy všech sestav a výkazů za libovolný měsíc (např. zpětný tisk hlavní knihy, výstupy dat za minulá období atp.)</w:t>
            </w:r>
          </w:p>
        </w:tc>
        <w:tc>
          <w:tcPr>
            <w:tcW w:w="2835" w:type="dxa"/>
            <w:tcBorders>
              <w:top w:val="nil"/>
              <w:left w:val="nil"/>
              <w:bottom w:val="single" w:sz="4" w:space="0" w:color="auto"/>
              <w:right w:val="single" w:sz="4" w:space="0" w:color="auto"/>
            </w:tcBorders>
            <w:shd w:val="clear" w:color="auto" w:fill="auto"/>
            <w:vAlign w:val="bottom"/>
            <w:hideMark/>
          </w:tcPr>
          <w:p w14:paraId="148D0A4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01D12E2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AB48661" w14:textId="77777777" w:rsidTr="008D4FC8">
        <w:trPr>
          <w:trHeight w:val="465"/>
        </w:trPr>
        <w:tc>
          <w:tcPr>
            <w:tcW w:w="1124" w:type="dxa"/>
            <w:vMerge/>
            <w:tcBorders>
              <w:top w:val="single" w:sz="8" w:space="0" w:color="auto"/>
              <w:left w:val="single" w:sz="8" w:space="0" w:color="auto"/>
              <w:bottom w:val="nil"/>
              <w:right w:val="single" w:sz="8" w:space="0" w:color="auto"/>
            </w:tcBorders>
            <w:vAlign w:val="center"/>
            <w:hideMark/>
          </w:tcPr>
          <w:p w14:paraId="3A67365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49D7CC2"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Integrace</w:t>
            </w:r>
          </w:p>
        </w:tc>
        <w:tc>
          <w:tcPr>
            <w:tcW w:w="5954" w:type="dxa"/>
            <w:tcBorders>
              <w:top w:val="nil"/>
              <w:left w:val="nil"/>
              <w:bottom w:val="single" w:sz="4" w:space="0" w:color="auto"/>
              <w:right w:val="single" w:sz="4" w:space="0" w:color="auto"/>
            </w:tcBorders>
            <w:shd w:val="clear" w:color="auto" w:fill="auto"/>
            <w:vAlign w:val="center"/>
            <w:hideMark/>
          </w:tcPr>
          <w:p w14:paraId="48C7D254" w14:textId="0FD81880" w:rsidR="008D4FC8" w:rsidRPr="008D4FC8" w:rsidRDefault="00AD4233"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R</w:t>
            </w:r>
            <w:r w:rsidR="008D4FC8" w:rsidRPr="008D4FC8">
              <w:rPr>
                <w:rFonts w:ascii="Calibri" w:eastAsia="Times New Roman" w:hAnsi="Calibri"/>
                <w:color w:val="000000"/>
                <w:sz w:val="16"/>
                <w:szCs w:val="16"/>
                <w:lang w:eastAsia="cs-CZ"/>
              </w:rPr>
              <w:t>evizní protokol o veškerých zásazích do účtového rozvrhu, orientovaný podle osobního čísla uživatele</w:t>
            </w:r>
          </w:p>
        </w:tc>
        <w:tc>
          <w:tcPr>
            <w:tcW w:w="2835" w:type="dxa"/>
            <w:tcBorders>
              <w:top w:val="nil"/>
              <w:left w:val="nil"/>
              <w:bottom w:val="single" w:sz="4" w:space="0" w:color="auto"/>
              <w:right w:val="single" w:sz="4" w:space="0" w:color="auto"/>
            </w:tcBorders>
            <w:shd w:val="clear" w:color="auto" w:fill="auto"/>
            <w:vAlign w:val="bottom"/>
            <w:hideMark/>
          </w:tcPr>
          <w:p w14:paraId="34DCAEA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1259AE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01FB731" w14:textId="77777777" w:rsidTr="008D4FC8">
        <w:trPr>
          <w:trHeight w:val="900"/>
        </w:trPr>
        <w:tc>
          <w:tcPr>
            <w:tcW w:w="11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9417BF"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Kniha došlých faktury</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0E5FD26E"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Obecné požadavky</w:t>
            </w:r>
          </w:p>
        </w:tc>
        <w:tc>
          <w:tcPr>
            <w:tcW w:w="5954" w:type="dxa"/>
            <w:tcBorders>
              <w:top w:val="single" w:sz="8" w:space="0" w:color="auto"/>
              <w:left w:val="nil"/>
              <w:bottom w:val="single" w:sz="4" w:space="0" w:color="auto"/>
              <w:right w:val="single" w:sz="4" w:space="0" w:color="auto"/>
            </w:tcBorders>
            <w:shd w:val="clear" w:color="auto" w:fill="auto"/>
            <w:vAlign w:val="center"/>
            <w:hideMark/>
          </w:tcPr>
          <w:p w14:paraId="0D1889D9"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Evidence došlých faktur a platebních poukazů, jejich zpracování a vytvoření úhrad, vytvoření platebního příkazu k úhradě a umožnění vytvoření elektronické dávky platebních příkazů do banky, evidence záznamů o proplacení a zaúčtování</w:t>
            </w:r>
          </w:p>
        </w:tc>
        <w:tc>
          <w:tcPr>
            <w:tcW w:w="2835" w:type="dxa"/>
            <w:tcBorders>
              <w:top w:val="single" w:sz="8" w:space="0" w:color="auto"/>
              <w:left w:val="nil"/>
              <w:bottom w:val="single" w:sz="4" w:space="0" w:color="auto"/>
              <w:right w:val="single" w:sz="4" w:space="0" w:color="auto"/>
            </w:tcBorders>
            <w:shd w:val="clear" w:color="auto" w:fill="auto"/>
            <w:vAlign w:val="bottom"/>
            <w:hideMark/>
          </w:tcPr>
          <w:p w14:paraId="016D130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single" w:sz="8" w:space="0" w:color="auto"/>
              <w:left w:val="nil"/>
              <w:bottom w:val="single" w:sz="4" w:space="0" w:color="auto"/>
              <w:right w:val="single" w:sz="8" w:space="0" w:color="auto"/>
            </w:tcBorders>
            <w:shd w:val="clear" w:color="auto" w:fill="auto"/>
            <w:vAlign w:val="bottom"/>
            <w:hideMark/>
          </w:tcPr>
          <w:p w14:paraId="50802BD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922092A"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BC3CC6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6185AA6A"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FE78F47" w14:textId="5E3CE53C"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 xml:space="preserve">ořizování došlých faktur </w:t>
            </w:r>
          </w:p>
        </w:tc>
        <w:tc>
          <w:tcPr>
            <w:tcW w:w="2835" w:type="dxa"/>
            <w:tcBorders>
              <w:top w:val="nil"/>
              <w:left w:val="nil"/>
              <w:bottom w:val="single" w:sz="4" w:space="0" w:color="auto"/>
              <w:right w:val="single" w:sz="4" w:space="0" w:color="auto"/>
            </w:tcBorders>
            <w:shd w:val="clear" w:color="auto" w:fill="auto"/>
            <w:vAlign w:val="bottom"/>
            <w:hideMark/>
          </w:tcPr>
          <w:p w14:paraId="517090C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666EF10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EC96194"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9C665C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B3A5A42"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8A551D8" w14:textId="7F35377E"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 xml:space="preserve">ořizování platebních poukazů </w:t>
            </w:r>
          </w:p>
        </w:tc>
        <w:tc>
          <w:tcPr>
            <w:tcW w:w="2835" w:type="dxa"/>
            <w:tcBorders>
              <w:top w:val="nil"/>
              <w:left w:val="nil"/>
              <w:bottom w:val="single" w:sz="4" w:space="0" w:color="auto"/>
              <w:right w:val="single" w:sz="4" w:space="0" w:color="auto"/>
            </w:tcBorders>
            <w:shd w:val="clear" w:color="auto" w:fill="auto"/>
            <w:vAlign w:val="bottom"/>
            <w:hideMark/>
          </w:tcPr>
          <w:p w14:paraId="5941AA5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73030B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D958790"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EB12BB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DE76AEA"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11FD85E0" w14:textId="65BE06E9"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D</w:t>
            </w:r>
            <w:r w:rsidR="008D4FC8" w:rsidRPr="008D4FC8">
              <w:rPr>
                <w:rFonts w:ascii="Calibri" w:eastAsia="Times New Roman" w:hAnsi="Calibri"/>
                <w:color w:val="000000"/>
                <w:sz w:val="16"/>
                <w:szCs w:val="16"/>
                <w:lang w:eastAsia="cs-CZ"/>
              </w:rPr>
              <w:t xml:space="preserve">oklady budou členěny pomocí předřazených číselných řad a skupin </w:t>
            </w:r>
          </w:p>
        </w:tc>
        <w:tc>
          <w:tcPr>
            <w:tcW w:w="2835" w:type="dxa"/>
            <w:tcBorders>
              <w:top w:val="nil"/>
              <w:left w:val="nil"/>
              <w:bottom w:val="single" w:sz="4" w:space="0" w:color="auto"/>
              <w:right w:val="single" w:sz="4" w:space="0" w:color="auto"/>
            </w:tcBorders>
            <w:shd w:val="clear" w:color="auto" w:fill="auto"/>
            <w:vAlign w:val="bottom"/>
            <w:hideMark/>
          </w:tcPr>
          <w:p w14:paraId="4605A74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61F05FB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955196B"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C7E781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AD260A7"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3D2AD06" w14:textId="3D45C1C6"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A</w:t>
            </w:r>
            <w:r w:rsidR="008D4FC8" w:rsidRPr="008D4FC8">
              <w:rPr>
                <w:rFonts w:ascii="Calibri" w:eastAsia="Times New Roman" w:hAnsi="Calibri"/>
                <w:color w:val="000000"/>
                <w:sz w:val="16"/>
                <w:szCs w:val="16"/>
                <w:lang w:eastAsia="cs-CZ"/>
              </w:rPr>
              <w:t>utomatické pořadové číslo každé nově zapisované faktuře nebo poukazu</w:t>
            </w:r>
          </w:p>
        </w:tc>
        <w:tc>
          <w:tcPr>
            <w:tcW w:w="2835" w:type="dxa"/>
            <w:tcBorders>
              <w:top w:val="nil"/>
              <w:left w:val="nil"/>
              <w:bottom w:val="single" w:sz="4" w:space="0" w:color="auto"/>
              <w:right w:val="single" w:sz="4" w:space="0" w:color="auto"/>
            </w:tcBorders>
            <w:shd w:val="clear" w:color="auto" w:fill="auto"/>
            <w:vAlign w:val="bottom"/>
            <w:hideMark/>
          </w:tcPr>
          <w:p w14:paraId="2444AE8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9E8215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C2DD88C"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0BD0AE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F57B1AE"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42484CC8" w14:textId="639391A0"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8D4FC8" w:rsidRPr="008D4FC8">
              <w:rPr>
                <w:rFonts w:ascii="Calibri" w:eastAsia="Times New Roman" w:hAnsi="Calibri"/>
                <w:color w:val="000000"/>
                <w:sz w:val="16"/>
                <w:szCs w:val="16"/>
                <w:lang w:eastAsia="cs-CZ"/>
              </w:rPr>
              <w:t xml:space="preserve">ožnost částečných úhrad a jejich sledování </w:t>
            </w:r>
          </w:p>
        </w:tc>
        <w:tc>
          <w:tcPr>
            <w:tcW w:w="2835" w:type="dxa"/>
            <w:tcBorders>
              <w:top w:val="nil"/>
              <w:left w:val="nil"/>
              <w:bottom w:val="single" w:sz="4" w:space="0" w:color="auto"/>
              <w:right w:val="single" w:sz="4" w:space="0" w:color="auto"/>
            </w:tcBorders>
            <w:shd w:val="clear" w:color="auto" w:fill="auto"/>
            <w:vAlign w:val="bottom"/>
            <w:hideMark/>
          </w:tcPr>
          <w:p w14:paraId="6AB6761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4DC22B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09B99B0"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5D940B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3A945564"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79CBDE9" w14:textId="409760D7"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8D4FC8" w:rsidRPr="008D4FC8">
              <w:rPr>
                <w:rFonts w:ascii="Calibri" w:eastAsia="Times New Roman" w:hAnsi="Calibri"/>
                <w:color w:val="000000"/>
                <w:sz w:val="16"/>
                <w:szCs w:val="16"/>
                <w:lang w:eastAsia="cs-CZ"/>
              </w:rPr>
              <w:t xml:space="preserve">ožnost vést zálohové faktury a jejich vyúčtování </w:t>
            </w:r>
          </w:p>
        </w:tc>
        <w:tc>
          <w:tcPr>
            <w:tcW w:w="2835" w:type="dxa"/>
            <w:tcBorders>
              <w:top w:val="nil"/>
              <w:left w:val="nil"/>
              <w:bottom w:val="single" w:sz="4" w:space="0" w:color="auto"/>
              <w:right w:val="single" w:sz="4" w:space="0" w:color="auto"/>
            </w:tcBorders>
            <w:shd w:val="clear" w:color="auto" w:fill="auto"/>
            <w:vAlign w:val="bottom"/>
            <w:hideMark/>
          </w:tcPr>
          <w:p w14:paraId="032E72A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27F156C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2666BBD"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C63F40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19519B1"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100765C8" w14:textId="434988AA"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I</w:t>
            </w:r>
            <w:r w:rsidR="008D4FC8" w:rsidRPr="008D4FC8">
              <w:rPr>
                <w:rFonts w:ascii="Calibri" w:eastAsia="Times New Roman" w:hAnsi="Calibri"/>
                <w:color w:val="000000"/>
                <w:sz w:val="16"/>
                <w:szCs w:val="16"/>
                <w:lang w:eastAsia="cs-CZ"/>
              </w:rPr>
              <w:t xml:space="preserve">nterní číselník vlastních účtů </w:t>
            </w:r>
          </w:p>
        </w:tc>
        <w:tc>
          <w:tcPr>
            <w:tcW w:w="2835" w:type="dxa"/>
            <w:tcBorders>
              <w:top w:val="nil"/>
              <w:left w:val="nil"/>
              <w:bottom w:val="single" w:sz="4" w:space="0" w:color="auto"/>
              <w:right w:val="single" w:sz="4" w:space="0" w:color="auto"/>
            </w:tcBorders>
            <w:shd w:val="clear" w:color="auto" w:fill="auto"/>
            <w:vAlign w:val="bottom"/>
            <w:hideMark/>
          </w:tcPr>
          <w:p w14:paraId="06D8724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8A44E8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16BE3E4"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E3FF67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6DE4382"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47D0D92C" w14:textId="3EBC4BCC"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I</w:t>
            </w:r>
            <w:r w:rsidR="008D4FC8" w:rsidRPr="008D4FC8">
              <w:rPr>
                <w:rFonts w:ascii="Calibri" w:eastAsia="Times New Roman" w:hAnsi="Calibri"/>
                <w:color w:val="000000"/>
                <w:sz w:val="16"/>
                <w:szCs w:val="16"/>
                <w:lang w:eastAsia="cs-CZ"/>
              </w:rPr>
              <w:t xml:space="preserve">nterní číselník dodavatelů a příjemců, který lze třídit podle IČO, názvu organizace nebo podle čísel účtů </w:t>
            </w:r>
          </w:p>
        </w:tc>
        <w:tc>
          <w:tcPr>
            <w:tcW w:w="2835" w:type="dxa"/>
            <w:tcBorders>
              <w:top w:val="nil"/>
              <w:left w:val="nil"/>
              <w:bottom w:val="single" w:sz="4" w:space="0" w:color="auto"/>
              <w:right w:val="single" w:sz="4" w:space="0" w:color="auto"/>
            </w:tcBorders>
            <w:shd w:val="clear" w:color="auto" w:fill="auto"/>
            <w:vAlign w:val="bottom"/>
            <w:hideMark/>
          </w:tcPr>
          <w:p w14:paraId="32284C1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EFB154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E2F7D2C" w14:textId="77777777" w:rsidTr="008D4FC8">
        <w:trPr>
          <w:trHeight w:val="67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31263E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38FE9CB"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308C5DE" w14:textId="25C44150"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U</w:t>
            </w:r>
            <w:r w:rsidR="008D4FC8" w:rsidRPr="008D4FC8">
              <w:rPr>
                <w:rFonts w:ascii="Calibri" w:eastAsia="Times New Roman" w:hAnsi="Calibri"/>
                <w:color w:val="000000"/>
                <w:sz w:val="16"/>
                <w:szCs w:val="16"/>
                <w:lang w:eastAsia="cs-CZ"/>
              </w:rPr>
              <w:t xml:space="preserve">možní pracovat podle potřeby s volitelným číselníkem SRP (tzv. správce rozpočtových prostředků), který tiskne předávací protokol o předání faktur do oběhu </w:t>
            </w:r>
          </w:p>
        </w:tc>
        <w:tc>
          <w:tcPr>
            <w:tcW w:w="2835" w:type="dxa"/>
            <w:tcBorders>
              <w:top w:val="nil"/>
              <w:left w:val="nil"/>
              <w:bottom w:val="single" w:sz="4" w:space="0" w:color="auto"/>
              <w:right w:val="single" w:sz="4" w:space="0" w:color="auto"/>
            </w:tcBorders>
            <w:shd w:val="clear" w:color="auto" w:fill="auto"/>
            <w:vAlign w:val="bottom"/>
            <w:hideMark/>
          </w:tcPr>
          <w:p w14:paraId="629BCD8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0E28CC3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CFE8EF8"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EE1F25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D1B39B8"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8820535" w14:textId="2BCB4513"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S</w:t>
            </w:r>
            <w:r w:rsidR="008D4FC8" w:rsidRPr="008D4FC8">
              <w:rPr>
                <w:rFonts w:ascii="Calibri" w:eastAsia="Times New Roman" w:hAnsi="Calibri"/>
                <w:color w:val="000000"/>
                <w:sz w:val="16"/>
                <w:szCs w:val="16"/>
                <w:lang w:eastAsia="cs-CZ"/>
              </w:rPr>
              <w:t xml:space="preserve">polupráce s modulem bankovních operací, ze kterého zpracuje dávku, a tak vygeneruje příkazy k příslušným fakturám </w:t>
            </w:r>
          </w:p>
        </w:tc>
        <w:tc>
          <w:tcPr>
            <w:tcW w:w="2835" w:type="dxa"/>
            <w:tcBorders>
              <w:top w:val="nil"/>
              <w:left w:val="nil"/>
              <w:bottom w:val="single" w:sz="4" w:space="0" w:color="auto"/>
              <w:right w:val="single" w:sz="4" w:space="0" w:color="auto"/>
            </w:tcBorders>
            <w:shd w:val="clear" w:color="auto" w:fill="auto"/>
            <w:vAlign w:val="bottom"/>
            <w:hideMark/>
          </w:tcPr>
          <w:p w14:paraId="5F0EB96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52EB03D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2C2CADF" w14:textId="77777777" w:rsidTr="008D4FC8">
        <w:trPr>
          <w:trHeight w:val="13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CBF875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AB85793"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D0447CA" w14:textId="33F5A025"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 xml:space="preserve">ředdefinované tiskové sestavy, včetně rozpisu DPH, program bude disponovat standardně následujícími výstupy – tisk knihy faktur, tisk knihy poukazů, tisk hlášení finančnímu úřadu (ohlašovací povinnost), tisk příkazu k úhradě peněžnímu ústavu, tisk průvodního formuláře (tzv. ”košilka”), tisk stavu faktur k datu – přehled závazků využívaný k inventarizaci </w:t>
            </w:r>
          </w:p>
        </w:tc>
        <w:tc>
          <w:tcPr>
            <w:tcW w:w="2835" w:type="dxa"/>
            <w:tcBorders>
              <w:top w:val="nil"/>
              <w:left w:val="nil"/>
              <w:bottom w:val="single" w:sz="4" w:space="0" w:color="auto"/>
              <w:right w:val="single" w:sz="4" w:space="0" w:color="auto"/>
            </w:tcBorders>
            <w:shd w:val="clear" w:color="auto" w:fill="auto"/>
            <w:vAlign w:val="bottom"/>
            <w:hideMark/>
          </w:tcPr>
          <w:p w14:paraId="084302B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0DCC541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C685D4F"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5EDC90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E458FF7" w14:textId="77777777" w:rsidR="008D4FC8" w:rsidRPr="00AD4233" w:rsidRDefault="008D4FC8" w:rsidP="008D4FC8">
            <w:pPr>
              <w:spacing w:after="0"/>
              <w:jc w:val="left"/>
              <w:rPr>
                <w:rFonts w:asciiTheme="minorHAnsi" w:eastAsia="Times New Roman" w:hAnsiTheme="minorHAnsi" w:cs="Arial"/>
                <w:color w:val="000000"/>
                <w:sz w:val="16"/>
                <w:szCs w:val="16"/>
                <w:lang w:eastAsia="cs-CZ"/>
              </w:rPr>
            </w:pPr>
            <w:r w:rsidRPr="00AD4233">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4DB0FE0D" w14:textId="2D0440BF"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římý výstup dat do účetnictví</w:t>
            </w:r>
          </w:p>
        </w:tc>
        <w:tc>
          <w:tcPr>
            <w:tcW w:w="2835" w:type="dxa"/>
            <w:tcBorders>
              <w:top w:val="nil"/>
              <w:left w:val="nil"/>
              <w:bottom w:val="single" w:sz="4" w:space="0" w:color="auto"/>
              <w:right w:val="single" w:sz="4" w:space="0" w:color="auto"/>
            </w:tcBorders>
            <w:shd w:val="clear" w:color="auto" w:fill="auto"/>
            <w:vAlign w:val="bottom"/>
            <w:hideMark/>
          </w:tcPr>
          <w:p w14:paraId="1A0F145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F8CECE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940CC57" w14:textId="77777777" w:rsidTr="008D4FC8">
        <w:trPr>
          <w:trHeight w:val="450"/>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7AD09D47"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Kniha odeslaných faktur</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302E971E"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Obecné požadavky</w:t>
            </w:r>
          </w:p>
        </w:tc>
        <w:tc>
          <w:tcPr>
            <w:tcW w:w="5954" w:type="dxa"/>
            <w:tcBorders>
              <w:top w:val="single" w:sz="8" w:space="0" w:color="auto"/>
              <w:left w:val="nil"/>
              <w:bottom w:val="single" w:sz="4" w:space="0" w:color="auto"/>
              <w:right w:val="single" w:sz="4" w:space="0" w:color="auto"/>
            </w:tcBorders>
            <w:shd w:val="clear" w:color="auto" w:fill="auto"/>
            <w:vAlign w:val="center"/>
            <w:hideMark/>
          </w:tcPr>
          <w:p w14:paraId="06682A27" w14:textId="5A00D6C7"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Z</w:t>
            </w:r>
            <w:r w:rsidR="008D4FC8" w:rsidRPr="008D4FC8">
              <w:rPr>
                <w:rFonts w:ascii="Calibri" w:eastAsia="Times New Roman" w:hAnsi="Calibri"/>
                <w:color w:val="000000"/>
                <w:sz w:val="16"/>
                <w:szCs w:val="16"/>
                <w:lang w:eastAsia="cs-CZ"/>
              </w:rPr>
              <w:t>pracování faktur (vystavení, zaúčtování po vystavení, zaplacení, zaúčtování po zaplacení), vhodnost pro všechny typy organizací</w:t>
            </w:r>
          </w:p>
        </w:tc>
        <w:tc>
          <w:tcPr>
            <w:tcW w:w="2835" w:type="dxa"/>
            <w:tcBorders>
              <w:top w:val="single" w:sz="8" w:space="0" w:color="auto"/>
              <w:left w:val="nil"/>
              <w:bottom w:val="single" w:sz="4" w:space="0" w:color="auto"/>
              <w:right w:val="single" w:sz="4" w:space="0" w:color="auto"/>
            </w:tcBorders>
            <w:shd w:val="clear" w:color="auto" w:fill="auto"/>
            <w:vAlign w:val="bottom"/>
            <w:hideMark/>
          </w:tcPr>
          <w:p w14:paraId="6525BBE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single" w:sz="8" w:space="0" w:color="auto"/>
              <w:left w:val="nil"/>
              <w:bottom w:val="single" w:sz="4" w:space="0" w:color="auto"/>
              <w:right w:val="single" w:sz="8" w:space="0" w:color="auto"/>
            </w:tcBorders>
            <w:shd w:val="clear" w:color="auto" w:fill="auto"/>
            <w:vAlign w:val="bottom"/>
            <w:hideMark/>
          </w:tcPr>
          <w:p w14:paraId="73A5C34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BB0931B"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05EBE7C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62732F4"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8DA91EE" w14:textId="462CF912"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 xml:space="preserve">ořizování odeslaných faktur </w:t>
            </w:r>
          </w:p>
        </w:tc>
        <w:tc>
          <w:tcPr>
            <w:tcW w:w="2835" w:type="dxa"/>
            <w:tcBorders>
              <w:top w:val="nil"/>
              <w:left w:val="nil"/>
              <w:bottom w:val="single" w:sz="4" w:space="0" w:color="auto"/>
              <w:right w:val="single" w:sz="4" w:space="0" w:color="auto"/>
            </w:tcBorders>
            <w:shd w:val="clear" w:color="auto" w:fill="auto"/>
            <w:vAlign w:val="bottom"/>
            <w:hideMark/>
          </w:tcPr>
          <w:p w14:paraId="241D48C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27CE02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4A01E7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008699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DC6DC0E"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0F4F301" w14:textId="50BF4E27"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 xml:space="preserve">ořizování zálohových faktur a daňových dokladů platby předem </w:t>
            </w:r>
          </w:p>
        </w:tc>
        <w:tc>
          <w:tcPr>
            <w:tcW w:w="2835" w:type="dxa"/>
            <w:tcBorders>
              <w:top w:val="nil"/>
              <w:left w:val="nil"/>
              <w:bottom w:val="single" w:sz="4" w:space="0" w:color="auto"/>
              <w:right w:val="single" w:sz="4" w:space="0" w:color="auto"/>
            </w:tcBorders>
            <w:shd w:val="clear" w:color="auto" w:fill="auto"/>
            <w:vAlign w:val="bottom"/>
            <w:hideMark/>
          </w:tcPr>
          <w:p w14:paraId="601B592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439488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771DB9B"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DBD704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78944B6"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81DC9B1" w14:textId="0EBA279F"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S</w:t>
            </w:r>
            <w:r w:rsidR="008D4FC8" w:rsidRPr="008D4FC8">
              <w:rPr>
                <w:rFonts w:ascii="Calibri" w:eastAsia="Times New Roman" w:hAnsi="Calibri"/>
                <w:color w:val="000000"/>
                <w:sz w:val="16"/>
                <w:szCs w:val="16"/>
                <w:lang w:eastAsia="cs-CZ"/>
              </w:rPr>
              <w:t xml:space="preserve">vázání zálohových faktur s fakturami konečnými </w:t>
            </w:r>
          </w:p>
        </w:tc>
        <w:tc>
          <w:tcPr>
            <w:tcW w:w="2835" w:type="dxa"/>
            <w:tcBorders>
              <w:top w:val="nil"/>
              <w:left w:val="nil"/>
              <w:bottom w:val="single" w:sz="4" w:space="0" w:color="auto"/>
              <w:right w:val="single" w:sz="4" w:space="0" w:color="auto"/>
            </w:tcBorders>
            <w:shd w:val="clear" w:color="auto" w:fill="auto"/>
            <w:vAlign w:val="bottom"/>
            <w:hideMark/>
          </w:tcPr>
          <w:p w14:paraId="09CF616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3D82E3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933813B"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7602AB3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F702C82"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D68600C" w14:textId="7DC583E5"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Z</w:t>
            </w:r>
            <w:r w:rsidR="008D4FC8" w:rsidRPr="008D4FC8">
              <w:rPr>
                <w:rFonts w:ascii="Calibri" w:eastAsia="Times New Roman" w:hAnsi="Calibri"/>
                <w:color w:val="000000"/>
                <w:sz w:val="16"/>
                <w:szCs w:val="16"/>
                <w:lang w:eastAsia="cs-CZ"/>
              </w:rPr>
              <w:t xml:space="preserve">ohlednění DPH přijatých plateb předem v rekapitulaci konečných faktur </w:t>
            </w:r>
          </w:p>
        </w:tc>
        <w:tc>
          <w:tcPr>
            <w:tcW w:w="2835" w:type="dxa"/>
            <w:tcBorders>
              <w:top w:val="nil"/>
              <w:left w:val="nil"/>
              <w:bottom w:val="single" w:sz="4" w:space="0" w:color="auto"/>
              <w:right w:val="single" w:sz="4" w:space="0" w:color="auto"/>
            </w:tcBorders>
            <w:shd w:val="clear" w:color="auto" w:fill="auto"/>
            <w:vAlign w:val="bottom"/>
            <w:hideMark/>
          </w:tcPr>
          <w:p w14:paraId="5839B0F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8477A8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587DAB9"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7F16A2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3826370"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7C2D9088" w14:textId="4EE10AAA"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 xml:space="preserve">ořízení dobropisů a vrubopisů </w:t>
            </w:r>
          </w:p>
        </w:tc>
        <w:tc>
          <w:tcPr>
            <w:tcW w:w="2835" w:type="dxa"/>
            <w:tcBorders>
              <w:top w:val="nil"/>
              <w:left w:val="nil"/>
              <w:bottom w:val="single" w:sz="4" w:space="0" w:color="auto"/>
              <w:right w:val="single" w:sz="4" w:space="0" w:color="auto"/>
            </w:tcBorders>
            <w:shd w:val="clear" w:color="auto" w:fill="auto"/>
            <w:vAlign w:val="bottom"/>
            <w:hideMark/>
          </w:tcPr>
          <w:p w14:paraId="7B0EB13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DB2202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9734137"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37DEB65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606C860"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7D420CB9" w14:textId="3160A129"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 xml:space="preserve">ořízení dobropisů k odmítnutým fakturám a jejich svazování s odmítnutými fakturami </w:t>
            </w:r>
          </w:p>
        </w:tc>
        <w:tc>
          <w:tcPr>
            <w:tcW w:w="2835" w:type="dxa"/>
            <w:tcBorders>
              <w:top w:val="nil"/>
              <w:left w:val="nil"/>
              <w:bottom w:val="single" w:sz="4" w:space="0" w:color="auto"/>
              <w:right w:val="single" w:sz="4" w:space="0" w:color="auto"/>
            </w:tcBorders>
            <w:shd w:val="clear" w:color="auto" w:fill="auto"/>
            <w:vAlign w:val="bottom"/>
            <w:hideMark/>
          </w:tcPr>
          <w:p w14:paraId="69EF0D2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2D8FD1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31DC2B2"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4599A23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31F1CE09"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2479FAE0" w14:textId="7C005E2A"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 xml:space="preserve">ořízení penalizačních faktur a umožnění penalizace dle diskontní sazby či </w:t>
            </w:r>
            <w:proofErr w:type="spellStart"/>
            <w:r w:rsidR="008D4FC8" w:rsidRPr="008D4FC8">
              <w:rPr>
                <w:rFonts w:ascii="Calibri" w:eastAsia="Times New Roman" w:hAnsi="Calibri"/>
                <w:color w:val="000000"/>
                <w:sz w:val="16"/>
                <w:szCs w:val="16"/>
                <w:lang w:eastAsia="cs-CZ"/>
              </w:rPr>
              <w:t>repo</w:t>
            </w:r>
            <w:proofErr w:type="spellEnd"/>
            <w:r w:rsidR="008D4FC8" w:rsidRPr="008D4FC8">
              <w:rPr>
                <w:rFonts w:ascii="Calibri" w:eastAsia="Times New Roman" w:hAnsi="Calibri"/>
                <w:color w:val="000000"/>
                <w:sz w:val="16"/>
                <w:szCs w:val="16"/>
                <w:lang w:eastAsia="cs-CZ"/>
              </w:rPr>
              <w:t xml:space="preserve"> sazby či denního penalizačního procenta </w:t>
            </w:r>
          </w:p>
        </w:tc>
        <w:tc>
          <w:tcPr>
            <w:tcW w:w="2835" w:type="dxa"/>
            <w:tcBorders>
              <w:top w:val="nil"/>
              <w:left w:val="nil"/>
              <w:bottom w:val="single" w:sz="4" w:space="0" w:color="auto"/>
              <w:right w:val="single" w:sz="4" w:space="0" w:color="auto"/>
            </w:tcBorders>
            <w:shd w:val="clear" w:color="auto" w:fill="auto"/>
            <w:vAlign w:val="bottom"/>
            <w:hideMark/>
          </w:tcPr>
          <w:p w14:paraId="769A216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200C8A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644652D"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7C30A5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06FB598"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18965ED7" w14:textId="1387DB4F"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8D4FC8" w:rsidRPr="008D4FC8">
              <w:rPr>
                <w:rFonts w:ascii="Calibri" w:eastAsia="Times New Roman" w:hAnsi="Calibri"/>
                <w:color w:val="000000"/>
                <w:sz w:val="16"/>
                <w:szCs w:val="16"/>
                <w:lang w:eastAsia="cs-CZ"/>
              </w:rPr>
              <w:t xml:space="preserve">ožnost částečné platby a jejich sledování </w:t>
            </w:r>
          </w:p>
        </w:tc>
        <w:tc>
          <w:tcPr>
            <w:tcW w:w="2835" w:type="dxa"/>
            <w:tcBorders>
              <w:top w:val="nil"/>
              <w:left w:val="nil"/>
              <w:bottom w:val="single" w:sz="4" w:space="0" w:color="auto"/>
              <w:right w:val="single" w:sz="4" w:space="0" w:color="auto"/>
            </w:tcBorders>
            <w:shd w:val="clear" w:color="auto" w:fill="auto"/>
            <w:vAlign w:val="bottom"/>
            <w:hideMark/>
          </w:tcPr>
          <w:p w14:paraId="5BC110A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8A9D45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CC1A56E"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8EA391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C9C83EA"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7B7D8511" w14:textId="1DEACF7F"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Č</w:t>
            </w:r>
            <w:r w:rsidR="008D4FC8" w:rsidRPr="008D4FC8">
              <w:rPr>
                <w:rFonts w:ascii="Calibri" w:eastAsia="Times New Roman" w:hAnsi="Calibri"/>
                <w:color w:val="000000"/>
                <w:sz w:val="16"/>
                <w:szCs w:val="16"/>
                <w:lang w:eastAsia="cs-CZ"/>
              </w:rPr>
              <w:t xml:space="preserve">íselník odběratelů </w:t>
            </w:r>
          </w:p>
        </w:tc>
        <w:tc>
          <w:tcPr>
            <w:tcW w:w="2835" w:type="dxa"/>
            <w:tcBorders>
              <w:top w:val="nil"/>
              <w:left w:val="nil"/>
              <w:bottom w:val="single" w:sz="4" w:space="0" w:color="auto"/>
              <w:right w:val="single" w:sz="4" w:space="0" w:color="auto"/>
            </w:tcBorders>
            <w:shd w:val="clear" w:color="auto" w:fill="auto"/>
            <w:vAlign w:val="bottom"/>
            <w:hideMark/>
          </w:tcPr>
          <w:p w14:paraId="1966CDF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7F77EA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F263968"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7BF4369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62E01414"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496F2499" w14:textId="7893810D"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Č</w:t>
            </w:r>
            <w:r w:rsidR="008D4FC8" w:rsidRPr="008D4FC8">
              <w:rPr>
                <w:rFonts w:ascii="Calibri" w:eastAsia="Times New Roman" w:hAnsi="Calibri"/>
                <w:color w:val="000000"/>
                <w:sz w:val="16"/>
                <w:szCs w:val="16"/>
                <w:lang w:eastAsia="cs-CZ"/>
              </w:rPr>
              <w:t xml:space="preserve">íselník fakturovaných položek </w:t>
            </w:r>
          </w:p>
        </w:tc>
        <w:tc>
          <w:tcPr>
            <w:tcW w:w="2835" w:type="dxa"/>
            <w:tcBorders>
              <w:top w:val="nil"/>
              <w:left w:val="nil"/>
              <w:bottom w:val="single" w:sz="4" w:space="0" w:color="auto"/>
              <w:right w:val="single" w:sz="4" w:space="0" w:color="auto"/>
            </w:tcBorders>
            <w:shd w:val="clear" w:color="auto" w:fill="auto"/>
            <w:vAlign w:val="bottom"/>
            <w:hideMark/>
          </w:tcPr>
          <w:p w14:paraId="47DBD98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5835B32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BEC7267"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18750FA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DE5DDA5"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674DF54" w14:textId="78FC2464"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Č</w:t>
            </w:r>
            <w:r w:rsidR="008D4FC8" w:rsidRPr="008D4FC8">
              <w:rPr>
                <w:rFonts w:ascii="Calibri" w:eastAsia="Times New Roman" w:hAnsi="Calibri"/>
                <w:color w:val="000000"/>
                <w:sz w:val="16"/>
                <w:szCs w:val="16"/>
                <w:lang w:eastAsia="cs-CZ"/>
              </w:rPr>
              <w:t xml:space="preserve">íselník účtů </w:t>
            </w:r>
          </w:p>
        </w:tc>
        <w:tc>
          <w:tcPr>
            <w:tcW w:w="2835" w:type="dxa"/>
            <w:tcBorders>
              <w:top w:val="nil"/>
              <w:left w:val="nil"/>
              <w:bottom w:val="single" w:sz="4" w:space="0" w:color="auto"/>
              <w:right w:val="single" w:sz="4" w:space="0" w:color="auto"/>
            </w:tcBorders>
            <w:shd w:val="clear" w:color="auto" w:fill="auto"/>
            <w:vAlign w:val="bottom"/>
            <w:hideMark/>
          </w:tcPr>
          <w:p w14:paraId="5CA871E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5279E3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613CA3D"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8EDA08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F341CFB"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7D489D06" w14:textId="19E73E42"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Č</w:t>
            </w:r>
            <w:r w:rsidR="008D4FC8" w:rsidRPr="008D4FC8">
              <w:rPr>
                <w:rFonts w:ascii="Calibri" w:eastAsia="Times New Roman" w:hAnsi="Calibri"/>
                <w:color w:val="000000"/>
                <w:sz w:val="16"/>
                <w:szCs w:val="16"/>
                <w:lang w:eastAsia="cs-CZ"/>
              </w:rPr>
              <w:t xml:space="preserve">íselník středisek </w:t>
            </w:r>
          </w:p>
        </w:tc>
        <w:tc>
          <w:tcPr>
            <w:tcW w:w="2835" w:type="dxa"/>
            <w:tcBorders>
              <w:top w:val="nil"/>
              <w:left w:val="nil"/>
              <w:bottom w:val="single" w:sz="4" w:space="0" w:color="auto"/>
              <w:right w:val="single" w:sz="4" w:space="0" w:color="auto"/>
            </w:tcBorders>
            <w:shd w:val="clear" w:color="auto" w:fill="auto"/>
            <w:vAlign w:val="bottom"/>
            <w:hideMark/>
          </w:tcPr>
          <w:p w14:paraId="65BCF93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DB0E37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6DC3C2E" w14:textId="77777777" w:rsidTr="008D4FC8">
        <w:trPr>
          <w:trHeight w:val="675"/>
        </w:trPr>
        <w:tc>
          <w:tcPr>
            <w:tcW w:w="1124" w:type="dxa"/>
            <w:vMerge/>
            <w:tcBorders>
              <w:top w:val="nil"/>
              <w:left w:val="single" w:sz="8" w:space="0" w:color="auto"/>
              <w:bottom w:val="single" w:sz="8" w:space="0" w:color="000000"/>
              <w:right w:val="single" w:sz="8" w:space="0" w:color="auto"/>
            </w:tcBorders>
            <w:vAlign w:val="center"/>
            <w:hideMark/>
          </w:tcPr>
          <w:p w14:paraId="604256D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6C0B0172"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7D437636" w14:textId="22B30788"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S</w:t>
            </w:r>
            <w:r w:rsidR="008D4FC8" w:rsidRPr="008D4FC8">
              <w:rPr>
                <w:rFonts w:ascii="Calibri" w:eastAsia="Times New Roman" w:hAnsi="Calibri"/>
                <w:color w:val="000000"/>
                <w:sz w:val="16"/>
                <w:szCs w:val="16"/>
                <w:lang w:eastAsia="cs-CZ"/>
              </w:rPr>
              <w:t xml:space="preserve">polupráce s modulem bankovních operací, ze kterého zpracuje </w:t>
            </w:r>
            <w:proofErr w:type="spellStart"/>
            <w:r w:rsidR="008D4FC8" w:rsidRPr="008D4FC8">
              <w:rPr>
                <w:rFonts w:ascii="Calibri" w:eastAsia="Times New Roman" w:hAnsi="Calibri"/>
                <w:color w:val="000000"/>
                <w:sz w:val="16"/>
                <w:szCs w:val="16"/>
                <w:lang w:eastAsia="cs-CZ"/>
              </w:rPr>
              <w:t>párovací</w:t>
            </w:r>
            <w:proofErr w:type="spellEnd"/>
            <w:r w:rsidR="008D4FC8" w:rsidRPr="008D4FC8">
              <w:rPr>
                <w:rFonts w:ascii="Calibri" w:eastAsia="Times New Roman" w:hAnsi="Calibri"/>
                <w:color w:val="000000"/>
                <w:sz w:val="16"/>
                <w:szCs w:val="16"/>
                <w:lang w:eastAsia="cs-CZ"/>
              </w:rPr>
              <w:t xml:space="preserve"> dávku bankovního výpisu a tak vygeneruje platby k příslušným fakturám </w:t>
            </w:r>
          </w:p>
        </w:tc>
        <w:tc>
          <w:tcPr>
            <w:tcW w:w="2835" w:type="dxa"/>
            <w:tcBorders>
              <w:top w:val="nil"/>
              <w:left w:val="nil"/>
              <w:bottom w:val="single" w:sz="4" w:space="0" w:color="auto"/>
              <w:right w:val="single" w:sz="4" w:space="0" w:color="auto"/>
            </w:tcBorders>
            <w:shd w:val="clear" w:color="auto" w:fill="auto"/>
            <w:vAlign w:val="bottom"/>
            <w:hideMark/>
          </w:tcPr>
          <w:p w14:paraId="201AE2F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280EBA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04E6F42"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29FD8F7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F76CC5B"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0B8ABB5E" w14:textId="07198269"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Č</w:t>
            </w:r>
            <w:r w:rsidR="008D4FC8" w:rsidRPr="008D4FC8">
              <w:rPr>
                <w:rFonts w:ascii="Calibri" w:eastAsia="Times New Roman" w:hAnsi="Calibri"/>
                <w:color w:val="000000"/>
                <w:sz w:val="16"/>
                <w:szCs w:val="16"/>
                <w:lang w:eastAsia="cs-CZ"/>
              </w:rPr>
              <w:t xml:space="preserve">íselník jmen fakturujících osob </w:t>
            </w:r>
          </w:p>
        </w:tc>
        <w:tc>
          <w:tcPr>
            <w:tcW w:w="2835" w:type="dxa"/>
            <w:tcBorders>
              <w:top w:val="nil"/>
              <w:left w:val="nil"/>
              <w:bottom w:val="single" w:sz="4" w:space="0" w:color="auto"/>
              <w:right w:val="single" w:sz="4" w:space="0" w:color="auto"/>
            </w:tcBorders>
            <w:shd w:val="clear" w:color="auto" w:fill="auto"/>
            <w:vAlign w:val="bottom"/>
            <w:hideMark/>
          </w:tcPr>
          <w:p w14:paraId="6442C5C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0AB8D0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8E854F1" w14:textId="77777777" w:rsidTr="008D4FC8">
        <w:trPr>
          <w:trHeight w:val="315"/>
        </w:trPr>
        <w:tc>
          <w:tcPr>
            <w:tcW w:w="1124" w:type="dxa"/>
            <w:vMerge/>
            <w:tcBorders>
              <w:top w:val="nil"/>
              <w:left w:val="single" w:sz="8" w:space="0" w:color="auto"/>
              <w:bottom w:val="single" w:sz="8" w:space="0" w:color="000000"/>
              <w:right w:val="single" w:sz="8" w:space="0" w:color="auto"/>
            </w:tcBorders>
            <w:vAlign w:val="center"/>
            <w:hideMark/>
          </w:tcPr>
          <w:p w14:paraId="5C0EFA7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8" w:space="0" w:color="auto"/>
              <w:right w:val="single" w:sz="8" w:space="0" w:color="auto"/>
            </w:tcBorders>
            <w:shd w:val="clear" w:color="auto" w:fill="auto"/>
            <w:vAlign w:val="center"/>
            <w:hideMark/>
          </w:tcPr>
          <w:p w14:paraId="45AC5A23"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8" w:space="0" w:color="auto"/>
              <w:right w:val="single" w:sz="4" w:space="0" w:color="auto"/>
            </w:tcBorders>
            <w:shd w:val="clear" w:color="auto" w:fill="auto"/>
            <w:vAlign w:val="center"/>
            <w:hideMark/>
          </w:tcPr>
          <w:p w14:paraId="000AD8F2" w14:textId="11E016DA"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římý výstup dat do účetnictví</w:t>
            </w:r>
          </w:p>
        </w:tc>
        <w:tc>
          <w:tcPr>
            <w:tcW w:w="2835" w:type="dxa"/>
            <w:tcBorders>
              <w:top w:val="nil"/>
              <w:left w:val="nil"/>
              <w:bottom w:val="single" w:sz="8" w:space="0" w:color="auto"/>
              <w:right w:val="single" w:sz="4" w:space="0" w:color="auto"/>
            </w:tcBorders>
            <w:shd w:val="clear" w:color="auto" w:fill="auto"/>
            <w:vAlign w:val="bottom"/>
            <w:hideMark/>
          </w:tcPr>
          <w:p w14:paraId="3B31626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8" w:space="0" w:color="auto"/>
              <w:right w:val="single" w:sz="8" w:space="0" w:color="auto"/>
            </w:tcBorders>
            <w:shd w:val="clear" w:color="auto" w:fill="auto"/>
            <w:vAlign w:val="bottom"/>
            <w:hideMark/>
          </w:tcPr>
          <w:p w14:paraId="7099D75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EA80937" w14:textId="77777777" w:rsidTr="008D4FC8">
        <w:trPr>
          <w:trHeight w:val="900"/>
        </w:trPr>
        <w:tc>
          <w:tcPr>
            <w:tcW w:w="1124" w:type="dxa"/>
            <w:vMerge w:val="restart"/>
            <w:tcBorders>
              <w:top w:val="nil"/>
              <w:left w:val="single" w:sz="8" w:space="0" w:color="auto"/>
              <w:bottom w:val="nil"/>
              <w:right w:val="single" w:sz="8" w:space="0" w:color="auto"/>
            </w:tcBorders>
            <w:shd w:val="clear" w:color="auto" w:fill="auto"/>
            <w:vAlign w:val="center"/>
            <w:hideMark/>
          </w:tcPr>
          <w:p w14:paraId="640F7E16"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Komunikace s bankami</w:t>
            </w:r>
          </w:p>
        </w:tc>
        <w:tc>
          <w:tcPr>
            <w:tcW w:w="1276" w:type="dxa"/>
            <w:tcBorders>
              <w:top w:val="nil"/>
              <w:left w:val="nil"/>
              <w:bottom w:val="single" w:sz="4" w:space="0" w:color="auto"/>
              <w:right w:val="single" w:sz="8" w:space="0" w:color="auto"/>
            </w:tcBorders>
            <w:shd w:val="clear" w:color="auto" w:fill="auto"/>
            <w:vAlign w:val="center"/>
            <w:hideMark/>
          </w:tcPr>
          <w:p w14:paraId="4164F858"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Obecné požadavky</w:t>
            </w:r>
          </w:p>
        </w:tc>
        <w:tc>
          <w:tcPr>
            <w:tcW w:w="5954" w:type="dxa"/>
            <w:tcBorders>
              <w:top w:val="nil"/>
              <w:left w:val="nil"/>
              <w:bottom w:val="single" w:sz="4" w:space="0" w:color="auto"/>
              <w:right w:val="single" w:sz="4" w:space="0" w:color="auto"/>
            </w:tcBorders>
            <w:shd w:val="clear" w:color="auto" w:fill="auto"/>
            <w:vAlign w:val="center"/>
            <w:hideMark/>
          </w:tcPr>
          <w:p w14:paraId="59982674" w14:textId="1B856FFC"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V</w:t>
            </w:r>
            <w:r w:rsidR="008D4FC8" w:rsidRPr="008D4FC8">
              <w:rPr>
                <w:rFonts w:ascii="Calibri" w:eastAsia="Times New Roman" w:hAnsi="Calibri"/>
                <w:color w:val="000000"/>
                <w:sz w:val="16"/>
                <w:szCs w:val="16"/>
                <w:lang w:eastAsia="cs-CZ"/>
              </w:rPr>
              <w:t xml:space="preserve">ytvoření datového souboru s platebními příkazy vystavenými modulem kniha došlých faktur ve formátu požadovaném bankami. Umožňuje import elektronické formy bankovního výpisu, jeho tisk a vytvoření </w:t>
            </w:r>
            <w:proofErr w:type="spellStart"/>
            <w:r w:rsidR="008D4FC8" w:rsidRPr="008D4FC8">
              <w:rPr>
                <w:rFonts w:ascii="Calibri" w:eastAsia="Times New Roman" w:hAnsi="Calibri"/>
                <w:color w:val="000000"/>
                <w:sz w:val="16"/>
                <w:szCs w:val="16"/>
                <w:lang w:eastAsia="cs-CZ"/>
              </w:rPr>
              <w:t>párovací</w:t>
            </w:r>
            <w:proofErr w:type="spellEnd"/>
            <w:r w:rsidR="008D4FC8" w:rsidRPr="008D4FC8">
              <w:rPr>
                <w:rFonts w:ascii="Calibri" w:eastAsia="Times New Roman" w:hAnsi="Calibri"/>
                <w:color w:val="000000"/>
                <w:sz w:val="16"/>
                <w:szCs w:val="16"/>
                <w:lang w:eastAsia="cs-CZ"/>
              </w:rPr>
              <w:t xml:space="preserve"> dávky pro párování nepotvrzených plateb</w:t>
            </w:r>
          </w:p>
        </w:tc>
        <w:tc>
          <w:tcPr>
            <w:tcW w:w="2835" w:type="dxa"/>
            <w:tcBorders>
              <w:top w:val="nil"/>
              <w:left w:val="nil"/>
              <w:bottom w:val="single" w:sz="4" w:space="0" w:color="auto"/>
              <w:right w:val="single" w:sz="4" w:space="0" w:color="auto"/>
            </w:tcBorders>
            <w:shd w:val="clear" w:color="auto" w:fill="auto"/>
            <w:vAlign w:val="bottom"/>
            <w:hideMark/>
          </w:tcPr>
          <w:p w14:paraId="3D080BD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8BB909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7A6CA09" w14:textId="77777777" w:rsidTr="008D4FC8">
        <w:trPr>
          <w:trHeight w:val="300"/>
        </w:trPr>
        <w:tc>
          <w:tcPr>
            <w:tcW w:w="1124" w:type="dxa"/>
            <w:vMerge/>
            <w:tcBorders>
              <w:top w:val="nil"/>
              <w:left w:val="single" w:sz="8" w:space="0" w:color="auto"/>
              <w:bottom w:val="nil"/>
              <w:right w:val="single" w:sz="8" w:space="0" w:color="auto"/>
            </w:tcBorders>
            <w:vAlign w:val="center"/>
            <w:hideMark/>
          </w:tcPr>
          <w:p w14:paraId="1F765AB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1A833996"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3744E2D2" w14:textId="6B174A97"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K</w:t>
            </w:r>
            <w:r w:rsidR="008D4FC8" w:rsidRPr="008D4FC8">
              <w:rPr>
                <w:rFonts w:ascii="Calibri" w:eastAsia="Times New Roman" w:hAnsi="Calibri"/>
                <w:color w:val="000000"/>
                <w:sz w:val="16"/>
                <w:szCs w:val="16"/>
                <w:lang w:eastAsia="cs-CZ"/>
              </w:rPr>
              <w:t>ontrola předčíslí a čísla účtu na modulo 11</w:t>
            </w:r>
          </w:p>
        </w:tc>
        <w:tc>
          <w:tcPr>
            <w:tcW w:w="2835" w:type="dxa"/>
            <w:tcBorders>
              <w:top w:val="nil"/>
              <w:left w:val="nil"/>
              <w:bottom w:val="single" w:sz="4" w:space="0" w:color="auto"/>
              <w:right w:val="single" w:sz="4" w:space="0" w:color="auto"/>
            </w:tcBorders>
            <w:shd w:val="clear" w:color="auto" w:fill="auto"/>
            <w:vAlign w:val="bottom"/>
            <w:hideMark/>
          </w:tcPr>
          <w:p w14:paraId="68BE560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68F705C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C74CED1"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04A1B46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A93AEC9"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1EA53228" w14:textId="39DDD5B8"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K</w:t>
            </w:r>
            <w:r w:rsidR="008D4FC8" w:rsidRPr="008D4FC8">
              <w:rPr>
                <w:rFonts w:ascii="Calibri" w:eastAsia="Times New Roman" w:hAnsi="Calibri"/>
                <w:color w:val="000000"/>
                <w:sz w:val="16"/>
                <w:szCs w:val="16"/>
                <w:lang w:eastAsia="cs-CZ"/>
              </w:rPr>
              <w:t>ontrola specifického symbolu pro sporožirové účty České spořitelny na modulo 10</w:t>
            </w:r>
          </w:p>
        </w:tc>
        <w:tc>
          <w:tcPr>
            <w:tcW w:w="2835" w:type="dxa"/>
            <w:tcBorders>
              <w:top w:val="nil"/>
              <w:left w:val="nil"/>
              <w:bottom w:val="single" w:sz="4" w:space="0" w:color="auto"/>
              <w:right w:val="single" w:sz="4" w:space="0" w:color="auto"/>
            </w:tcBorders>
            <w:shd w:val="clear" w:color="auto" w:fill="auto"/>
            <w:vAlign w:val="bottom"/>
            <w:hideMark/>
          </w:tcPr>
          <w:p w14:paraId="4281F9E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0F5CF6C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D74D263"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282F188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31CD66A3"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2FE74266" w14:textId="19348549"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K</w:t>
            </w:r>
            <w:r w:rsidR="008D4FC8" w:rsidRPr="008D4FC8">
              <w:rPr>
                <w:rFonts w:ascii="Calibri" w:eastAsia="Times New Roman" w:hAnsi="Calibri"/>
                <w:color w:val="000000"/>
                <w:sz w:val="16"/>
                <w:szCs w:val="16"/>
                <w:lang w:eastAsia="cs-CZ"/>
              </w:rPr>
              <w:t>ontrola konstantního symbolu na vlastní seznam používaných konstantních symbolů</w:t>
            </w:r>
          </w:p>
        </w:tc>
        <w:tc>
          <w:tcPr>
            <w:tcW w:w="2835" w:type="dxa"/>
            <w:tcBorders>
              <w:top w:val="nil"/>
              <w:left w:val="nil"/>
              <w:bottom w:val="single" w:sz="4" w:space="0" w:color="auto"/>
              <w:right w:val="single" w:sz="4" w:space="0" w:color="auto"/>
            </w:tcBorders>
            <w:shd w:val="clear" w:color="auto" w:fill="auto"/>
            <w:vAlign w:val="bottom"/>
            <w:hideMark/>
          </w:tcPr>
          <w:p w14:paraId="55EB0BF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536AC1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BE62A15"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55B7E63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B08E744"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F9CD026" w14:textId="3F887665"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K</w:t>
            </w:r>
            <w:r w:rsidR="008D4FC8" w:rsidRPr="008D4FC8">
              <w:rPr>
                <w:rFonts w:ascii="Calibri" w:eastAsia="Times New Roman" w:hAnsi="Calibri"/>
                <w:color w:val="000000"/>
                <w:sz w:val="16"/>
                <w:szCs w:val="16"/>
                <w:lang w:eastAsia="cs-CZ"/>
              </w:rPr>
              <w:t>ontrola - datum splatnosti musí být větší nebo rovno aktuálnímu datu</w:t>
            </w:r>
          </w:p>
        </w:tc>
        <w:tc>
          <w:tcPr>
            <w:tcW w:w="2835" w:type="dxa"/>
            <w:tcBorders>
              <w:top w:val="nil"/>
              <w:left w:val="nil"/>
              <w:bottom w:val="single" w:sz="4" w:space="0" w:color="auto"/>
              <w:right w:val="single" w:sz="4" w:space="0" w:color="auto"/>
            </w:tcBorders>
            <w:shd w:val="clear" w:color="auto" w:fill="auto"/>
            <w:vAlign w:val="bottom"/>
            <w:hideMark/>
          </w:tcPr>
          <w:p w14:paraId="6DEA47B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FCD8EA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87A9D8B"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67E92EC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7B5AA77"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0F598D52"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 případě výskytu chyby se zobrazí chybový protokol s podrobným údajem o chybě</w:t>
            </w:r>
          </w:p>
        </w:tc>
        <w:tc>
          <w:tcPr>
            <w:tcW w:w="2835" w:type="dxa"/>
            <w:tcBorders>
              <w:top w:val="nil"/>
              <w:left w:val="nil"/>
              <w:bottom w:val="single" w:sz="4" w:space="0" w:color="auto"/>
              <w:right w:val="single" w:sz="4" w:space="0" w:color="auto"/>
            </w:tcBorders>
            <w:shd w:val="clear" w:color="auto" w:fill="auto"/>
            <w:vAlign w:val="bottom"/>
            <w:hideMark/>
          </w:tcPr>
          <w:p w14:paraId="798F407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07A88EC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80CDA01" w14:textId="77777777" w:rsidTr="008D4FC8">
        <w:trPr>
          <w:trHeight w:val="315"/>
        </w:trPr>
        <w:tc>
          <w:tcPr>
            <w:tcW w:w="1124" w:type="dxa"/>
            <w:vMerge/>
            <w:tcBorders>
              <w:top w:val="nil"/>
              <w:left w:val="single" w:sz="8" w:space="0" w:color="auto"/>
              <w:bottom w:val="nil"/>
              <w:right w:val="single" w:sz="8" w:space="0" w:color="auto"/>
            </w:tcBorders>
            <w:vAlign w:val="center"/>
            <w:hideMark/>
          </w:tcPr>
          <w:p w14:paraId="42FAC63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994362E"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35EF4DA4"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propojení s knihou odeslaných faktur a knihou přijatých faktur</w:t>
            </w:r>
          </w:p>
        </w:tc>
        <w:tc>
          <w:tcPr>
            <w:tcW w:w="2835" w:type="dxa"/>
            <w:tcBorders>
              <w:top w:val="nil"/>
              <w:left w:val="nil"/>
              <w:bottom w:val="single" w:sz="4" w:space="0" w:color="auto"/>
              <w:right w:val="single" w:sz="4" w:space="0" w:color="auto"/>
            </w:tcBorders>
            <w:shd w:val="clear" w:color="auto" w:fill="auto"/>
            <w:vAlign w:val="bottom"/>
            <w:hideMark/>
          </w:tcPr>
          <w:p w14:paraId="388258A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B8F005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604C9F8" w14:textId="77777777" w:rsidTr="008D4FC8">
        <w:trPr>
          <w:trHeight w:val="450"/>
        </w:trPr>
        <w:tc>
          <w:tcPr>
            <w:tcW w:w="11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0142E74"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Pokladna</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01470D08"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single" w:sz="8" w:space="0" w:color="auto"/>
              <w:left w:val="nil"/>
              <w:bottom w:val="single" w:sz="4" w:space="0" w:color="auto"/>
              <w:right w:val="single" w:sz="4" w:space="0" w:color="auto"/>
            </w:tcBorders>
            <w:shd w:val="clear" w:color="auto" w:fill="auto"/>
            <w:vAlign w:val="center"/>
            <w:hideMark/>
          </w:tcPr>
          <w:p w14:paraId="1DCBAD2C"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Vedení libovolného počtu pokladen a pokladních knih v korunové či valutové měně (s možností přepočtu kurzu).</w:t>
            </w:r>
          </w:p>
        </w:tc>
        <w:tc>
          <w:tcPr>
            <w:tcW w:w="2835" w:type="dxa"/>
            <w:tcBorders>
              <w:top w:val="single" w:sz="8" w:space="0" w:color="auto"/>
              <w:left w:val="nil"/>
              <w:bottom w:val="single" w:sz="4" w:space="0" w:color="auto"/>
              <w:right w:val="single" w:sz="4" w:space="0" w:color="auto"/>
            </w:tcBorders>
            <w:shd w:val="clear" w:color="auto" w:fill="auto"/>
            <w:vAlign w:val="bottom"/>
            <w:hideMark/>
          </w:tcPr>
          <w:p w14:paraId="29BF2C7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single" w:sz="8" w:space="0" w:color="auto"/>
              <w:left w:val="nil"/>
              <w:bottom w:val="single" w:sz="4" w:space="0" w:color="auto"/>
              <w:right w:val="single" w:sz="8" w:space="0" w:color="auto"/>
            </w:tcBorders>
            <w:shd w:val="clear" w:color="auto" w:fill="auto"/>
            <w:vAlign w:val="bottom"/>
            <w:hideMark/>
          </w:tcPr>
          <w:p w14:paraId="261A323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F5B5446"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0C525D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648A8AD"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C7BE850"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Oddělené číselné řady jednotlivých pokladen</w:t>
            </w:r>
          </w:p>
        </w:tc>
        <w:tc>
          <w:tcPr>
            <w:tcW w:w="2835" w:type="dxa"/>
            <w:tcBorders>
              <w:top w:val="nil"/>
              <w:left w:val="nil"/>
              <w:bottom w:val="single" w:sz="4" w:space="0" w:color="auto"/>
              <w:right w:val="single" w:sz="4" w:space="0" w:color="auto"/>
            </w:tcBorders>
            <w:shd w:val="clear" w:color="auto" w:fill="auto"/>
            <w:vAlign w:val="bottom"/>
            <w:hideMark/>
          </w:tcPr>
          <w:p w14:paraId="188C1B7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52061B8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2272147"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DBCE4C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2A1C750"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23682F3E"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Tisk pokladních knih (jejich částí dle skupin – rekapitulace)</w:t>
            </w:r>
          </w:p>
        </w:tc>
        <w:tc>
          <w:tcPr>
            <w:tcW w:w="2835" w:type="dxa"/>
            <w:tcBorders>
              <w:top w:val="nil"/>
              <w:left w:val="nil"/>
              <w:bottom w:val="single" w:sz="4" w:space="0" w:color="auto"/>
              <w:right w:val="single" w:sz="4" w:space="0" w:color="auto"/>
            </w:tcBorders>
            <w:shd w:val="clear" w:color="auto" w:fill="auto"/>
            <w:vAlign w:val="bottom"/>
            <w:hideMark/>
          </w:tcPr>
          <w:p w14:paraId="6EE9159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EED56C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637F177"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2348CE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150ECB0C"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73903D42"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Tvorba a úpravy jednotlivých pokladních dokladů (příjmových a výdajových) </w:t>
            </w:r>
          </w:p>
        </w:tc>
        <w:tc>
          <w:tcPr>
            <w:tcW w:w="2835" w:type="dxa"/>
            <w:tcBorders>
              <w:top w:val="nil"/>
              <w:left w:val="nil"/>
              <w:bottom w:val="single" w:sz="4" w:space="0" w:color="auto"/>
              <w:right w:val="single" w:sz="4" w:space="0" w:color="auto"/>
            </w:tcBorders>
            <w:shd w:val="clear" w:color="auto" w:fill="auto"/>
            <w:vAlign w:val="bottom"/>
            <w:hideMark/>
          </w:tcPr>
          <w:p w14:paraId="7F8B0C2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145D314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FAABA44"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B37546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4AE862E"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465E6F79"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Zaúčtování přijaté či vydané platby</w:t>
            </w:r>
          </w:p>
        </w:tc>
        <w:tc>
          <w:tcPr>
            <w:tcW w:w="2835" w:type="dxa"/>
            <w:tcBorders>
              <w:top w:val="nil"/>
              <w:left w:val="nil"/>
              <w:bottom w:val="single" w:sz="4" w:space="0" w:color="auto"/>
              <w:right w:val="single" w:sz="4" w:space="0" w:color="auto"/>
            </w:tcBorders>
            <w:shd w:val="clear" w:color="auto" w:fill="auto"/>
            <w:vAlign w:val="bottom"/>
            <w:hideMark/>
          </w:tcPr>
          <w:p w14:paraId="2FE749D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5709025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9F83411"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3B8783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6E830E3"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44A8780A"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Vystavení příjmových a výdajových dokladů i daňových včetně předkontace rozpočtové skladby</w:t>
            </w:r>
          </w:p>
        </w:tc>
        <w:tc>
          <w:tcPr>
            <w:tcW w:w="2835" w:type="dxa"/>
            <w:tcBorders>
              <w:top w:val="nil"/>
              <w:left w:val="nil"/>
              <w:bottom w:val="single" w:sz="4" w:space="0" w:color="auto"/>
              <w:right w:val="single" w:sz="4" w:space="0" w:color="auto"/>
            </w:tcBorders>
            <w:shd w:val="clear" w:color="auto" w:fill="auto"/>
            <w:vAlign w:val="bottom"/>
            <w:hideMark/>
          </w:tcPr>
          <w:p w14:paraId="0E11EFF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6130033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DE0C591"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1F236E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14314E1B"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428E23E5"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Podpora bezhotovostních plateb (platba platební kartou)</w:t>
            </w:r>
          </w:p>
        </w:tc>
        <w:tc>
          <w:tcPr>
            <w:tcW w:w="2835" w:type="dxa"/>
            <w:tcBorders>
              <w:top w:val="nil"/>
              <w:left w:val="nil"/>
              <w:bottom w:val="single" w:sz="4" w:space="0" w:color="auto"/>
              <w:right w:val="single" w:sz="4" w:space="0" w:color="auto"/>
            </w:tcBorders>
            <w:shd w:val="clear" w:color="auto" w:fill="auto"/>
            <w:vAlign w:val="bottom"/>
            <w:hideMark/>
          </w:tcPr>
          <w:p w14:paraId="6203E9F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B33D0D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C71D206" w14:textId="77777777" w:rsidTr="008D4FC8">
        <w:trPr>
          <w:trHeight w:val="46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53081B4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8" w:space="0" w:color="auto"/>
              <w:right w:val="single" w:sz="8" w:space="0" w:color="auto"/>
            </w:tcBorders>
            <w:shd w:val="clear" w:color="auto" w:fill="auto"/>
            <w:vAlign w:val="center"/>
            <w:hideMark/>
          </w:tcPr>
          <w:p w14:paraId="790A3C57"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8" w:space="0" w:color="auto"/>
              <w:right w:val="single" w:sz="4" w:space="0" w:color="auto"/>
            </w:tcBorders>
            <w:shd w:val="clear" w:color="auto" w:fill="auto"/>
            <w:vAlign w:val="center"/>
            <w:hideMark/>
          </w:tcPr>
          <w:p w14:paraId="18B9CA7F" w14:textId="77777777" w:rsidR="008D4FC8" w:rsidRPr="008D4FC8" w:rsidRDefault="008D4FC8" w:rsidP="008D4FC8">
            <w:pPr>
              <w:spacing w:after="0"/>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Možnost účtování v cizí měně s vazbou na stanovený devizový kurz a přepočet na Kč</w:t>
            </w:r>
          </w:p>
        </w:tc>
        <w:tc>
          <w:tcPr>
            <w:tcW w:w="2835" w:type="dxa"/>
            <w:tcBorders>
              <w:top w:val="nil"/>
              <w:left w:val="nil"/>
              <w:bottom w:val="single" w:sz="8" w:space="0" w:color="auto"/>
              <w:right w:val="single" w:sz="4" w:space="0" w:color="auto"/>
            </w:tcBorders>
            <w:shd w:val="clear" w:color="auto" w:fill="auto"/>
            <w:vAlign w:val="bottom"/>
            <w:hideMark/>
          </w:tcPr>
          <w:p w14:paraId="2A9A2B6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8" w:space="0" w:color="auto"/>
              <w:right w:val="single" w:sz="8" w:space="0" w:color="auto"/>
            </w:tcBorders>
            <w:shd w:val="clear" w:color="auto" w:fill="auto"/>
            <w:vAlign w:val="bottom"/>
            <w:hideMark/>
          </w:tcPr>
          <w:p w14:paraId="777FC9E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258012F" w14:textId="77777777" w:rsidTr="008D4FC8">
        <w:trPr>
          <w:trHeight w:val="900"/>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35931D0D"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lastRenderedPageBreak/>
              <w:t>Evidence majetku</w:t>
            </w:r>
          </w:p>
        </w:tc>
        <w:tc>
          <w:tcPr>
            <w:tcW w:w="1276" w:type="dxa"/>
            <w:tcBorders>
              <w:top w:val="nil"/>
              <w:left w:val="nil"/>
              <w:bottom w:val="single" w:sz="4" w:space="0" w:color="auto"/>
              <w:right w:val="single" w:sz="8" w:space="0" w:color="auto"/>
            </w:tcBorders>
            <w:shd w:val="clear" w:color="auto" w:fill="auto"/>
            <w:vAlign w:val="center"/>
            <w:hideMark/>
          </w:tcPr>
          <w:p w14:paraId="67CE52B6"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Obecné požadavky</w:t>
            </w:r>
          </w:p>
        </w:tc>
        <w:tc>
          <w:tcPr>
            <w:tcW w:w="5954" w:type="dxa"/>
            <w:tcBorders>
              <w:top w:val="nil"/>
              <w:left w:val="nil"/>
              <w:bottom w:val="single" w:sz="4" w:space="0" w:color="auto"/>
              <w:right w:val="single" w:sz="4" w:space="0" w:color="auto"/>
            </w:tcBorders>
            <w:shd w:val="clear" w:color="auto" w:fill="auto"/>
            <w:vAlign w:val="center"/>
            <w:hideMark/>
          </w:tcPr>
          <w:p w14:paraId="71480BE5" w14:textId="71464D3F"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E</w:t>
            </w:r>
            <w:r w:rsidR="008D4FC8" w:rsidRPr="008D4FC8">
              <w:rPr>
                <w:rFonts w:ascii="Calibri" w:eastAsia="Times New Roman" w:hAnsi="Calibri"/>
                <w:color w:val="000000"/>
                <w:sz w:val="16"/>
                <w:szCs w:val="16"/>
                <w:lang w:eastAsia="cs-CZ"/>
              </w:rPr>
              <w:t>vidence veškerého majetku organizace podle legislativních a účetních pravidel, umožní vést hmotný majetek, nehmotný majetek i předměty operativní evidence</w:t>
            </w:r>
            <w:r>
              <w:rPr>
                <w:rFonts w:ascii="Calibri" w:eastAsia="Times New Roman" w:hAnsi="Calibri"/>
                <w:color w:val="000000"/>
                <w:sz w:val="16"/>
                <w:szCs w:val="16"/>
                <w:lang w:eastAsia="cs-CZ"/>
              </w:rPr>
              <w:t xml:space="preserve"> </w:t>
            </w:r>
            <w:proofErr w:type="spellStart"/>
            <w:r w:rsidR="008D4FC8" w:rsidRPr="008D4FC8">
              <w:rPr>
                <w:rFonts w:ascii="Calibri" w:eastAsia="Times New Roman" w:hAnsi="Calibri"/>
                <w:color w:val="000000"/>
                <w:sz w:val="16"/>
                <w:szCs w:val="16"/>
                <w:lang w:eastAsia="cs-CZ"/>
              </w:rPr>
              <w:t>párovací</w:t>
            </w:r>
            <w:proofErr w:type="spellEnd"/>
            <w:r w:rsidR="008D4FC8" w:rsidRPr="008D4FC8">
              <w:rPr>
                <w:rFonts w:ascii="Calibri" w:eastAsia="Times New Roman" w:hAnsi="Calibri"/>
                <w:color w:val="000000"/>
                <w:sz w:val="16"/>
                <w:szCs w:val="16"/>
                <w:lang w:eastAsia="cs-CZ"/>
              </w:rPr>
              <w:t xml:space="preserve"> dávky pro párování nepotvrzených plateb</w:t>
            </w:r>
          </w:p>
        </w:tc>
        <w:tc>
          <w:tcPr>
            <w:tcW w:w="2835" w:type="dxa"/>
            <w:tcBorders>
              <w:top w:val="nil"/>
              <w:left w:val="nil"/>
              <w:bottom w:val="single" w:sz="4" w:space="0" w:color="auto"/>
              <w:right w:val="single" w:sz="4" w:space="0" w:color="auto"/>
            </w:tcBorders>
            <w:shd w:val="clear" w:color="auto" w:fill="auto"/>
            <w:vAlign w:val="bottom"/>
            <w:hideMark/>
          </w:tcPr>
          <w:p w14:paraId="73FD531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58697FC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D8149BD"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53246A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4CC9788"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47DE1EB6" w14:textId="10706D09"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říjem – pořízení nových karet</w:t>
            </w:r>
          </w:p>
        </w:tc>
        <w:tc>
          <w:tcPr>
            <w:tcW w:w="2835" w:type="dxa"/>
            <w:tcBorders>
              <w:top w:val="nil"/>
              <w:left w:val="nil"/>
              <w:bottom w:val="single" w:sz="4" w:space="0" w:color="auto"/>
              <w:right w:val="single" w:sz="4" w:space="0" w:color="auto"/>
            </w:tcBorders>
            <w:shd w:val="clear" w:color="auto" w:fill="auto"/>
            <w:vAlign w:val="bottom"/>
            <w:hideMark/>
          </w:tcPr>
          <w:p w14:paraId="2F4D11F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AB644F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1BEDB29"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3F6E1D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114259C3"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397A35DA" w14:textId="410C7F16"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V</w:t>
            </w:r>
            <w:r w:rsidR="008D4FC8" w:rsidRPr="008D4FC8">
              <w:rPr>
                <w:rFonts w:ascii="Calibri" w:eastAsia="Times New Roman" w:hAnsi="Calibri"/>
                <w:color w:val="000000"/>
                <w:sz w:val="16"/>
                <w:szCs w:val="16"/>
                <w:lang w:eastAsia="cs-CZ"/>
              </w:rPr>
              <w:t>ýdej – vyřazování karet</w:t>
            </w:r>
          </w:p>
        </w:tc>
        <w:tc>
          <w:tcPr>
            <w:tcW w:w="2835" w:type="dxa"/>
            <w:tcBorders>
              <w:top w:val="nil"/>
              <w:left w:val="nil"/>
              <w:bottom w:val="single" w:sz="4" w:space="0" w:color="auto"/>
              <w:right w:val="single" w:sz="4" w:space="0" w:color="auto"/>
            </w:tcBorders>
            <w:shd w:val="clear" w:color="auto" w:fill="auto"/>
            <w:vAlign w:val="bottom"/>
            <w:hideMark/>
          </w:tcPr>
          <w:p w14:paraId="2070C5E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2164593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B761C7D"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1EA815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C71EC50"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09836187" w14:textId="6054E4FE"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Z</w:t>
            </w:r>
            <w:r w:rsidR="008D4FC8" w:rsidRPr="008D4FC8">
              <w:rPr>
                <w:rFonts w:ascii="Calibri" w:eastAsia="Times New Roman" w:hAnsi="Calibri"/>
                <w:color w:val="000000"/>
                <w:sz w:val="16"/>
                <w:szCs w:val="16"/>
                <w:lang w:eastAsia="cs-CZ"/>
              </w:rPr>
              <w:t>měna – změna operativních vlastností karet</w:t>
            </w:r>
          </w:p>
        </w:tc>
        <w:tc>
          <w:tcPr>
            <w:tcW w:w="2835" w:type="dxa"/>
            <w:tcBorders>
              <w:top w:val="nil"/>
              <w:left w:val="nil"/>
              <w:bottom w:val="single" w:sz="4" w:space="0" w:color="auto"/>
              <w:right w:val="single" w:sz="4" w:space="0" w:color="auto"/>
            </w:tcBorders>
            <w:shd w:val="clear" w:color="auto" w:fill="auto"/>
            <w:vAlign w:val="bottom"/>
            <w:hideMark/>
          </w:tcPr>
          <w:p w14:paraId="10412ED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2FADD94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C80AE1A"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D2FC61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6CD05D83"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10A06B05" w14:textId="7946ADAC"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řevod – převod karet mezi lokalitami</w:t>
            </w:r>
          </w:p>
        </w:tc>
        <w:tc>
          <w:tcPr>
            <w:tcW w:w="2835" w:type="dxa"/>
            <w:tcBorders>
              <w:top w:val="nil"/>
              <w:left w:val="nil"/>
              <w:bottom w:val="single" w:sz="4" w:space="0" w:color="auto"/>
              <w:right w:val="single" w:sz="4" w:space="0" w:color="auto"/>
            </w:tcBorders>
            <w:shd w:val="clear" w:color="auto" w:fill="auto"/>
            <w:vAlign w:val="bottom"/>
            <w:hideMark/>
          </w:tcPr>
          <w:p w14:paraId="75365F2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41EE42A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A1935A5"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1FA411A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4473253"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A628C7E" w14:textId="349B404E"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Z</w:t>
            </w:r>
            <w:r w:rsidR="008D4FC8" w:rsidRPr="008D4FC8">
              <w:rPr>
                <w:rFonts w:ascii="Calibri" w:eastAsia="Times New Roman" w:hAnsi="Calibri"/>
                <w:color w:val="000000"/>
                <w:sz w:val="16"/>
                <w:szCs w:val="16"/>
                <w:lang w:eastAsia="cs-CZ"/>
              </w:rPr>
              <w:t>měna ceny</w:t>
            </w:r>
          </w:p>
        </w:tc>
        <w:tc>
          <w:tcPr>
            <w:tcW w:w="2835" w:type="dxa"/>
            <w:tcBorders>
              <w:top w:val="nil"/>
              <w:left w:val="nil"/>
              <w:bottom w:val="single" w:sz="4" w:space="0" w:color="auto"/>
              <w:right w:val="single" w:sz="4" w:space="0" w:color="auto"/>
            </w:tcBorders>
            <w:shd w:val="clear" w:color="auto" w:fill="auto"/>
            <w:vAlign w:val="bottom"/>
            <w:hideMark/>
          </w:tcPr>
          <w:p w14:paraId="61B49EC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693D274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BF5CE4C"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642BED2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435044D"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00F2B460" w14:textId="445409DF"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T</w:t>
            </w:r>
            <w:r w:rsidR="008D4FC8" w:rsidRPr="008D4FC8">
              <w:rPr>
                <w:rFonts w:ascii="Calibri" w:eastAsia="Times New Roman" w:hAnsi="Calibri"/>
                <w:color w:val="000000"/>
                <w:sz w:val="16"/>
                <w:szCs w:val="16"/>
                <w:lang w:eastAsia="cs-CZ"/>
              </w:rPr>
              <w:t>echnické zhodnocení</w:t>
            </w:r>
          </w:p>
        </w:tc>
        <w:tc>
          <w:tcPr>
            <w:tcW w:w="2835" w:type="dxa"/>
            <w:tcBorders>
              <w:top w:val="nil"/>
              <w:left w:val="nil"/>
              <w:bottom w:val="single" w:sz="4" w:space="0" w:color="auto"/>
              <w:right w:val="single" w:sz="4" w:space="0" w:color="auto"/>
            </w:tcBorders>
            <w:shd w:val="clear" w:color="auto" w:fill="auto"/>
            <w:vAlign w:val="bottom"/>
            <w:hideMark/>
          </w:tcPr>
          <w:p w14:paraId="79FE756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1EAE8E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0240029"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3FF7EE0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57494FC"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048451BB" w14:textId="41F91341"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I</w:t>
            </w:r>
            <w:r w:rsidR="008D4FC8" w:rsidRPr="008D4FC8">
              <w:rPr>
                <w:rFonts w:ascii="Calibri" w:eastAsia="Times New Roman" w:hAnsi="Calibri"/>
                <w:color w:val="000000"/>
                <w:sz w:val="16"/>
                <w:szCs w:val="16"/>
                <w:lang w:eastAsia="cs-CZ"/>
              </w:rPr>
              <w:t>nventurní soupisy dle platných legislativních parametrů</w:t>
            </w:r>
          </w:p>
        </w:tc>
        <w:tc>
          <w:tcPr>
            <w:tcW w:w="2835" w:type="dxa"/>
            <w:tcBorders>
              <w:top w:val="nil"/>
              <w:left w:val="nil"/>
              <w:bottom w:val="single" w:sz="4" w:space="0" w:color="auto"/>
              <w:right w:val="single" w:sz="4" w:space="0" w:color="auto"/>
            </w:tcBorders>
            <w:shd w:val="clear" w:color="auto" w:fill="auto"/>
            <w:vAlign w:val="bottom"/>
            <w:hideMark/>
          </w:tcPr>
          <w:p w14:paraId="63401FA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2E0BA77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AA3BAA7"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5026D16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C3C3235"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2C5F1AA2" w14:textId="2876A3C6"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G</w:t>
            </w:r>
            <w:r w:rsidR="008D4FC8" w:rsidRPr="008D4FC8">
              <w:rPr>
                <w:rFonts w:ascii="Calibri" w:eastAsia="Times New Roman" w:hAnsi="Calibri"/>
                <w:color w:val="000000"/>
                <w:sz w:val="16"/>
                <w:szCs w:val="16"/>
                <w:lang w:eastAsia="cs-CZ"/>
              </w:rPr>
              <w:t>enerátor sestav, umožní tvorbu vlastních uživatelských sestav</w:t>
            </w:r>
          </w:p>
        </w:tc>
        <w:tc>
          <w:tcPr>
            <w:tcW w:w="2835" w:type="dxa"/>
            <w:tcBorders>
              <w:top w:val="nil"/>
              <w:left w:val="nil"/>
              <w:bottom w:val="single" w:sz="4" w:space="0" w:color="auto"/>
              <w:right w:val="single" w:sz="4" w:space="0" w:color="auto"/>
            </w:tcBorders>
            <w:shd w:val="clear" w:color="auto" w:fill="auto"/>
            <w:vAlign w:val="bottom"/>
            <w:hideMark/>
          </w:tcPr>
          <w:p w14:paraId="578D8A9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6C0AEFF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B84D60D"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763C8B3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BB64C4D"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6B99CECE" w14:textId="3D963441"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O</w:t>
            </w:r>
            <w:r w:rsidR="008D4FC8" w:rsidRPr="008D4FC8">
              <w:rPr>
                <w:rFonts w:ascii="Calibri" w:eastAsia="Times New Roman" w:hAnsi="Calibri"/>
                <w:color w:val="000000"/>
                <w:sz w:val="16"/>
                <w:szCs w:val="16"/>
                <w:lang w:eastAsia="cs-CZ"/>
              </w:rPr>
              <w:t>dpisy majetku – umožní výpočet, evidenci majetku vč. možností odpisů individuálních</w:t>
            </w:r>
          </w:p>
        </w:tc>
        <w:tc>
          <w:tcPr>
            <w:tcW w:w="2835" w:type="dxa"/>
            <w:tcBorders>
              <w:top w:val="nil"/>
              <w:left w:val="nil"/>
              <w:bottom w:val="single" w:sz="4" w:space="0" w:color="auto"/>
              <w:right w:val="single" w:sz="4" w:space="0" w:color="auto"/>
            </w:tcBorders>
            <w:shd w:val="clear" w:color="auto" w:fill="auto"/>
            <w:vAlign w:val="bottom"/>
            <w:hideMark/>
          </w:tcPr>
          <w:p w14:paraId="069FB4D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7E872B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D4035B0" w14:textId="77777777" w:rsidTr="008D4FC8">
        <w:trPr>
          <w:trHeight w:val="465"/>
        </w:trPr>
        <w:tc>
          <w:tcPr>
            <w:tcW w:w="1124" w:type="dxa"/>
            <w:vMerge/>
            <w:tcBorders>
              <w:top w:val="nil"/>
              <w:left w:val="single" w:sz="8" w:space="0" w:color="auto"/>
              <w:bottom w:val="single" w:sz="8" w:space="0" w:color="000000"/>
              <w:right w:val="single" w:sz="8" w:space="0" w:color="auto"/>
            </w:tcBorders>
            <w:vAlign w:val="center"/>
            <w:hideMark/>
          </w:tcPr>
          <w:p w14:paraId="6214A42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8" w:space="0" w:color="auto"/>
              <w:right w:val="single" w:sz="8" w:space="0" w:color="auto"/>
            </w:tcBorders>
            <w:shd w:val="clear" w:color="auto" w:fill="auto"/>
            <w:vAlign w:val="center"/>
            <w:hideMark/>
          </w:tcPr>
          <w:p w14:paraId="4CEB9BD4"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8" w:space="0" w:color="auto"/>
              <w:right w:val="single" w:sz="4" w:space="0" w:color="auto"/>
            </w:tcBorders>
            <w:shd w:val="clear" w:color="auto" w:fill="auto"/>
            <w:vAlign w:val="center"/>
            <w:hideMark/>
          </w:tcPr>
          <w:p w14:paraId="05C5FE6B" w14:textId="56581699"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K</w:t>
            </w:r>
            <w:r w:rsidR="008D4FC8" w:rsidRPr="008D4FC8">
              <w:rPr>
                <w:rFonts w:ascii="Calibri" w:eastAsia="Times New Roman" w:hAnsi="Calibri"/>
                <w:color w:val="000000"/>
                <w:sz w:val="16"/>
                <w:szCs w:val="16"/>
                <w:lang w:eastAsia="cs-CZ"/>
              </w:rPr>
              <w:t>ontrola dat na číselníky a povinné položky, interní číselník SKP, CZ-CPA, CZ-CC a KPOZ, splnění legislativních parametrů ČUS 708</w:t>
            </w:r>
          </w:p>
        </w:tc>
        <w:tc>
          <w:tcPr>
            <w:tcW w:w="2835" w:type="dxa"/>
            <w:tcBorders>
              <w:top w:val="nil"/>
              <w:left w:val="nil"/>
              <w:bottom w:val="single" w:sz="8" w:space="0" w:color="auto"/>
              <w:right w:val="single" w:sz="4" w:space="0" w:color="auto"/>
            </w:tcBorders>
            <w:shd w:val="clear" w:color="auto" w:fill="auto"/>
            <w:vAlign w:val="bottom"/>
            <w:hideMark/>
          </w:tcPr>
          <w:p w14:paraId="17BDFFA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8" w:space="0" w:color="auto"/>
              <w:right w:val="single" w:sz="8" w:space="0" w:color="auto"/>
            </w:tcBorders>
            <w:shd w:val="clear" w:color="auto" w:fill="auto"/>
            <w:vAlign w:val="bottom"/>
            <w:hideMark/>
          </w:tcPr>
          <w:p w14:paraId="6F0566A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1CC4895" w14:textId="77777777" w:rsidTr="008D4FC8">
        <w:trPr>
          <w:trHeight w:val="300"/>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6358881D" w14:textId="20C00182"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Ele</w:t>
            </w:r>
            <w:r>
              <w:rPr>
                <w:rFonts w:ascii="Calibri" w:eastAsia="Times New Roman" w:hAnsi="Calibri"/>
                <w:b/>
                <w:bCs/>
                <w:color w:val="000000"/>
                <w:sz w:val="16"/>
                <w:szCs w:val="16"/>
                <w:lang w:eastAsia="cs-CZ"/>
              </w:rPr>
              <w:t>k</w:t>
            </w:r>
            <w:r w:rsidRPr="008D4FC8">
              <w:rPr>
                <w:rFonts w:ascii="Calibri" w:eastAsia="Times New Roman" w:hAnsi="Calibri"/>
                <w:b/>
                <w:bCs/>
                <w:color w:val="000000"/>
                <w:sz w:val="16"/>
                <w:szCs w:val="16"/>
                <w:lang w:eastAsia="cs-CZ"/>
              </w:rPr>
              <w:t>tronické podání dat</w:t>
            </w:r>
          </w:p>
        </w:tc>
        <w:tc>
          <w:tcPr>
            <w:tcW w:w="1276" w:type="dxa"/>
            <w:tcBorders>
              <w:top w:val="nil"/>
              <w:left w:val="nil"/>
              <w:bottom w:val="single" w:sz="4" w:space="0" w:color="auto"/>
              <w:right w:val="single" w:sz="8" w:space="0" w:color="auto"/>
            </w:tcBorders>
            <w:shd w:val="clear" w:color="auto" w:fill="auto"/>
            <w:vAlign w:val="center"/>
            <w:hideMark/>
          </w:tcPr>
          <w:p w14:paraId="566A9EF2"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53607EA8" w14:textId="067D55D9"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I</w:t>
            </w:r>
            <w:r w:rsidR="008D4FC8" w:rsidRPr="008D4FC8">
              <w:rPr>
                <w:rFonts w:ascii="Calibri" w:eastAsia="Times New Roman" w:hAnsi="Calibri"/>
                <w:color w:val="000000"/>
                <w:sz w:val="16"/>
                <w:szCs w:val="16"/>
                <w:lang w:eastAsia="cs-CZ"/>
              </w:rPr>
              <w:t>ntegrace na Státní pokladnu CSUIS</w:t>
            </w:r>
          </w:p>
        </w:tc>
        <w:tc>
          <w:tcPr>
            <w:tcW w:w="2835" w:type="dxa"/>
            <w:tcBorders>
              <w:top w:val="nil"/>
              <w:left w:val="nil"/>
              <w:bottom w:val="single" w:sz="4" w:space="0" w:color="auto"/>
              <w:right w:val="single" w:sz="4" w:space="0" w:color="auto"/>
            </w:tcBorders>
            <w:shd w:val="clear" w:color="auto" w:fill="auto"/>
            <w:vAlign w:val="bottom"/>
            <w:hideMark/>
          </w:tcPr>
          <w:p w14:paraId="37E7DD9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552C5BD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F21F197"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3509512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17BE50B"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490EAB97" w14:textId="3A2472B6"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O</w:t>
            </w:r>
            <w:r w:rsidR="008D4FC8" w:rsidRPr="008D4FC8">
              <w:rPr>
                <w:rFonts w:ascii="Calibri" w:eastAsia="Times New Roman" w:hAnsi="Calibri"/>
                <w:color w:val="000000"/>
                <w:sz w:val="16"/>
                <w:szCs w:val="16"/>
                <w:lang w:eastAsia="cs-CZ"/>
              </w:rPr>
              <w:t>deslání výkazů na CSUIS s možností přímého zobrazení historie odeslání, stavu zpracování výkazu a výsledku zpracování</w:t>
            </w:r>
          </w:p>
        </w:tc>
        <w:tc>
          <w:tcPr>
            <w:tcW w:w="2835" w:type="dxa"/>
            <w:tcBorders>
              <w:top w:val="nil"/>
              <w:left w:val="nil"/>
              <w:bottom w:val="single" w:sz="4" w:space="0" w:color="auto"/>
              <w:right w:val="single" w:sz="4" w:space="0" w:color="auto"/>
            </w:tcBorders>
            <w:shd w:val="clear" w:color="auto" w:fill="auto"/>
            <w:vAlign w:val="bottom"/>
            <w:hideMark/>
          </w:tcPr>
          <w:p w14:paraId="52D99C7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01546E8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FFEDEDF" w14:textId="77777777" w:rsidTr="008D4FC8">
        <w:trPr>
          <w:trHeight w:val="450"/>
        </w:trPr>
        <w:tc>
          <w:tcPr>
            <w:tcW w:w="1124" w:type="dxa"/>
            <w:vMerge/>
            <w:tcBorders>
              <w:top w:val="nil"/>
              <w:left w:val="single" w:sz="8" w:space="0" w:color="auto"/>
              <w:bottom w:val="single" w:sz="8" w:space="0" w:color="000000"/>
              <w:right w:val="single" w:sz="8" w:space="0" w:color="auto"/>
            </w:tcBorders>
            <w:vAlign w:val="center"/>
            <w:hideMark/>
          </w:tcPr>
          <w:p w14:paraId="743DE39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550932D"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7F2ADE84" w14:textId="087FC0B1"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I</w:t>
            </w:r>
            <w:r w:rsidR="008D4FC8" w:rsidRPr="008D4FC8">
              <w:rPr>
                <w:rFonts w:ascii="Calibri" w:eastAsia="Times New Roman" w:hAnsi="Calibri"/>
                <w:color w:val="000000"/>
                <w:sz w:val="16"/>
                <w:szCs w:val="16"/>
                <w:lang w:eastAsia="cs-CZ"/>
              </w:rPr>
              <w:t>ntegrace na EPO a PVS  - Elektronické podání pro PVS a EPO (portál veřejné správy a českou daňovou správu)</w:t>
            </w:r>
          </w:p>
        </w:tc>
        <w:tc>
          <w:tcPr>
            <w:tcW w:w="2835" w:type="dxa"/>
            <w:tcBorders>
              <w:top w:val="nil"/>
              <w:left w:val="nil"/>
              <w:bottom w:val="single" w:sz="4" w:space="0" w:color="auto"/>
              <w:right w:val="single" w:sz="4" w:space="0" w:color="auto"/>
            </w:tcBorders>
            <w:shd w:val="clear" w:color="auto" w:fill="auto"/>
            <w:vAlign w:val="bottom"/>
            <w:hideMark/>
          </w:tcPr>
          <w:p w14:paraId="2AA75E7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71E1016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D450F7E" w14:textId="77777777" w:rsidTr="008D4FC8">
        <w:trPr>
          <w:trHeight w:val="300"/>
        </w:trPr>
        <w:tc>
          <w:tcPr>
            <w:tcW w:w="1124" w:type="dxa"/>
            <w:vMerge/>
            <w:tcBorders>
              <w:top w:val="nil"/>
              <w:left w:val="single" w:sz="8" w:space="0" w:color="auto"/>
              <w:bottom w:val="single" w:sz="8" w:space="0" w:color="000000"/>
              <w:right w:val="single" w:sz="8" w:space="0" w:color="auto"/>
            </w:tcBorders>
            <w:vAlign w:val="center"/>
            <w:hideMark/>
          </w:tcPr>
          <w:p w14:paraId="4FB8FBE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6A5E162"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4" w:space="0" w:color="auto"/>
              <w:right w:val="single" w:sz="4" w:space="0" w:color="auto"/>
            </w:tcBorders>
            <w:shd w:val="clear" w:color="auto" w:fill="auto"/>
            <w:vAlign w:val="center"/>
            <w:hideMark/>
          </w:tcPr>
          <w:p w14:paraId="24C4331C" w14:textId="06A94795"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8D4FC8" w:rsidRPr="008D4FC8">
              <w:rPr>
                <w:rFonts w:ascii="Calibri" w:eastAsia="Times New Roman" w:hAnsi="Calibri"/>
                <w:color w:val="000000"/>
                <w:sz w:val="16"/>
                <w:szCs w:val="16"/>
                <w:lang w:eastAsia="cs-CZ"/>
              </w:rPr>
              <w:t>římý výstup vygenerovaných výkazů z UCR</w:t>
            </w:r>
          </w:p>
        </w:tc>
        <w:tc>
          <w:tcPr>
            <w:tcW w:w="2835" w:type="dxa"/>
            <w:tcBorders>
              <w:top w:val="nil"/>
              <w:left w:val="nil"/>
              <w:bottom w:val="single" w:sz="4" w:space="0" w:color="auto"/>
              <w:right w:val="single" w:sz="4" w:space="0" w:color="auto"/>
            </w:tcBorders>
            <w:shd w:val="clear" w:color="auto" w:fill="auto"/>
            <w:vAlign w:val="bottom"/>
            <w:hideMark/>
          </w:tcPr>
          <w:p w14:paraId="15E9901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4" w:space="0" w:color="auto"/>
              <w:right w:val="single" w:sz="8" w:space="0" w:color="auto"/>
            </w:tcBorders>
            <w:shd w:val="clear" w:color="auto" w:fill="auto"/>
            <w:vAlign w:val="bottom"/>
            <w:hideMark/>
          </w:tcPr>
          <w:p w14:paraId="3C4990C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37F9691" w14:textId="77777777" w:rsidTr="008D4FC8">
        <w:trPr>
          <w:trHeight w:val="690"/>
        </w:trPr>
        <w:tc>
          <w:tcPr>
            <w:tcW w:w="1124" w:type="dxa"/>
            <w:vMerge/>
            <w:tcBorders>
              <w:top w:val="nil"/>
              <w:left w:val="single" w:sz="8" w:space="0" w:color="auto"/>
              <w:bottom w:val="single" w:sz="8" w:space="0" w:color="000000"/>
              <w:right w:val="single" w:sz="8" w:space="0" w:color="auto"/>
            </w:tcBorders>
            <w:vAlign w:val="center"/>
            <w:hideMark/>
          </w:tcPr>
          <w:p w14:paraId="0D703AC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8" w:space="0" w:color="auto"/>
              <w:right w:val="single" w:sz="8" w:space="0" w:color="auto"/>
            </w:tcBorders>
            <w:shd w:val="clear" w:color="auto" w:fill="auto"/>
            <w:vAlign w:val="center"/>
            <w:hideMark/>
          </w:tcPr>
          <w:p w14:paraId="258AB9D5" w14:textId="77777777" w:rsidR="008D4FC8" w:rsidRPr="00BB175F" w:rsidRDefault="008D4FC8" w:rsidP="008D4FC8">
            <w:pPr>
              <w:spacing w:after="0"/>
              <w:jc w:val="left"/>
              <w:rPr>
                <w:rFonts w:asciiTheme="minorHAnsi" w:eastAsia="Times New Roman" w:hAnsiTheme="minorHAnsi" w:cs="Arial"/>
                <w:color w:val="000000"/>
                <w:sz w:val="16"/>
                <w:szCs w:val="16"/>
                <w:lang w:eastAsia="cs-CZ"/>
              </w:rPr>
            </w:pPr>
            <w:r w:rsidRPr="00BB175F">
              <w:rPr>
                <w:rFonts w:asciiTheme="minorHAnsi" w:eastAsia="Times New Roman" w:hAnsiTheme="minorHAnsi" w:cs="Arial"/>
                <w:color w:val="000000"/>
                <w:sz w:val="16"/>
                <w:szCs w:val="16"/>
                <w:lang w:eastAsia="cs-CZ"/>
              </w:rPr>
              <w:t>Funkce</w:t>
            </w:r>
          </w:p>
        </w:tc>
        <w:tc>
          <w:tcPr>
            <w:tcW w:w="5954" w:type="dxa"/>
            <w:tcBorders>
              <w:top w:val="nil"/>
              <w:left w:val="nil"/>
              <w:bottom w:val="single" w:sz="8" w:space="0" w:color="auto"/>
              <w:right w:val="single" w:sz="4" w:space="0" w:color="auto"/>
            </w:tcBorders>
            <w:shd w:val="clear" w:color="auto" w:fill="auto"/>
            <w:vAlign w:val="center"/>
            <w:hideMark/>
          </w:tcPr>
          <w:p w14:paraId="5607F14D" w14:textId="57F62D93" w:rsidR="008D4FC8" w:rsidRPr="008D4FC8" w:rsidRDefault="00BB175F" w:rsidP="008D4FC8">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U</w:t>
            </w:r>
            <w:r w:rsidR="008D4FC8" w:rsidRPr="008D4FC8">
              <w:rPr>
                <w:rFonts w:ascii="Calibri" w:eastAsia="Times New Roman" w:hAnsi="Calibri"/>
                <w:color w:val="000000"/>
                <w:sz w:val="16"/>
                <w:szCs w:val="16"/>
                <w:lang w:eastAsia="cs-CZ"/>
              </w:rPr>
              <w:t>ložení zprávy pro PVS do souboru namísto odeslání. Odeslání zprávy pro EPO s možností přímého napojení na Datovou schránku, či přímého odeslání podepsaného formuláře</w:t>
            </w:r>
          </w:p>
        </w:tc>
        <w:tc>
          <w:tcPr>
            <w:tcW w:w="2835" w:type="dxa"/>
            <w:tcBorders>
              <w:top w:val="nil"/>
              <w:left w:val="nil"/>
              <w:bottom w:val="single" w:sz="8" w:space="0" w:color="auto"/>
              <w:right w:val="single" w:sz="4" w:space="0" w:color="auto"/>
            </w:tcBorders>
            <w:shd w:val="clear" w:color="auto" w:fill="auto"/>
            <w:vAlign w:val="bottom"/>
            <w:hideMark/>
          </w:tcPr>
          <w:p w14:paraId="09C0F76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28" w:type="dxa"/>
            <w:tcBorders>
              <w:top w:val="nil"/>
              <w:left w:val="nil"/>
              <w:bottom w:val="single" w:sz="8" w:space="0" w:color="auto"/>
              <w:right w:val="single" w:sz="8" w:space="0" w:color="auto"/>
            </w:tcBorders>
            <w:shd w:val="clear" w:color="auto" w:fill="auto"/>
            <w:vAlign w:val="bottom"/>
            <w:hideMark/>
          </w:tcPr>
          <w:p w14:paraId="4AE021D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bl>
    <w:p w14:paraId="7DFEA6B8" w14:textId="77777777" w:rsidR="008D4FC8" w:rsidRDefault="008D4FC8" w:rsidP="00237F6F">
      <w:pPr>
        <w:pStyle w:val="Normln-Odstavec"/>
        <w:numPr>
          <w:ilvl w:val="0"/>
          <w:numId w:val="0"/>
        </w:numPr>
      </w:pPr>
    </w:p>
    <w:tbl>
      <w:tblPr>
        <w:tblW w:w="0" w:type="auto"/>
        <w:tblInd w:w="80" w:type="dxa"/>
        <w:tblLayout w:type="fixed"/>
        <w:tblCellMar>
          <w:left w:w="70" w:type="dxa"/>
          <w:right w:w="70" w:type="dxa"/>
        </w:tblCellMar>
        <w:tblLook w:val="04A0" w:firstRow="1" w:lastRow="0" w:firstColumn="1" w:lastColumn="0" w:noHBand="0" w:noVBand="1"/>
      </w:tblPr>
      <w:tblGrid>
        <w:gridCol w:w="1124"/>
        <w:gridCol w:w="1276"/>
        <w:gridCol w:w="5951"/>
        <w:gridCol w:w="2863"/>
        <w:gridCol w:w="2403"/>
      </w:tblGrid>
      <w:tr w:rsidR="008D4FC8" w:rsidRPr="008D4FC8" w14:paraId="579F8E14" w14:textId="77777777" w:rsidTr="008D4FC8">
        <w:trPr>
          <w:cantSplit/>
          <w:trHeight w:val="315"/>
          <w:tblHeader/>
        </w:trPr>
        <w:tc>
          <w:tcPr>
            <w:tcW w:w="13617" w:type="dxa"/>
            <w:gridSpan w:val="5"/>
            <w:tcBorders>
              <w:top w:val="single" w:sz="8" w:space="0" w:color="auto"/>
              <w:left w:val="single" w:sz="8" w:space="0" w:color="auto"/>
              <w:bottom w:val="single" w:sz="8" w:space="0" w:color="auto"/>
              <w:right w:val="single" w:sz="8" w:space="0" w:color="000000"/>
            </w:tcBorders>
            <w:shd w:val="clear" w:color="000000" w:fill="C6D9F1"/>
            <w:noWrap/>
            <w:vAlign w:val="center"/>
            <w:hideMark/>
          </w:tcPr>
          <w:p w14:paraId="5267150E" w14:textId="77777777" w:rsidR="008D4FC8" w:rsidRPr="008D4FC8" w:rsidRDefault="008D4FC8" w:rsidP="008D4FC8">
            <w:pPr>
              <w:spacing w:after="0"/>
              <w:jc w:val="left"/>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Komodita K4 - Správní řízení</w:t>
            </w:r>
          </w:p>
        </w:tc>
      </w:tr>
      <w:tr w:rsidR="008D4FC8" w:rsidRPr="008D4FC8" w14:paraId="18677E58" w14:textId="77777777" w:rsidTr="008D4FC8">
        <w:trPr>
          <w:trHeight w:val="300"/>
        </w:trPr>
        <w:tc>
          <w:tcPr>
            <w:tcW w:w="1124" w:type="dxa"/>
            <w:vMerge w:val="restart"/>
            <w:tcBorders>
              <w:top w:val="nil"/>
              <w:left w:val="single" w:sz="8" w:space="0" w:color="auto"/>
              <w:bottom w:val="single" w:sz="4" w:space="0" w:color="auto"/>
              <w:right w:val="single" w:sz="4" w:space="0" w:color="auto"/>
            </w:tcBorders>
            <w:shd w:val="clear" w:color="000000" w:fill="F2F2F2"/>
            <w:vAlign w:val="center"/>
            <w:hideMark/>
          </w:tcPr>
          <w:p w14:paraId="1F1A86DC"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Část</w:t>
            </w:r>
          </w:p>
        </w:tc>
        <w:tc>
          <w:tcPr>
            <w:tcW w:w="1276" w:type="dxa"/>
            <w:vMerge w:val="restart"/>
            <w:tcBorders>
              <w:top w:val="nil"/>
              <w:left w:val="single" w:sz="4" w:space="0" w:color="auto"/>
              <w:bottom w:val="single" w:sz="4" w:space="0" w:color="auto"/>
              <w:right w:val="single" w:sz="4" w:space="0" w:color="auto"/>
            </w:tcBorders>
            <w:shd w:val="clear" w:color="000000" w:fill="F2F2F2"/>
            <w:vAlign w:val="center"/>
            <w:hideMark/>
          </w:tcPr>
          <w:p w14:paraId="57B4677C"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Parametr</w:t>
            </w:r>
          </w:p>
        </w:tc>
        <w:tc>
          <w:tcPr>
            <w:tcW w:w="5951"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3EF2D76A"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Popis povinného parametru</w:t>
            </w:r>
          </w:p>
        </w:tc>
        <w:tc>
          <w:tcPr>
            <w:tcW w:w="2863" w:type="dxa"/>
            <w:vMerge w:val="restart"/>
            <w:tcBorders>
              <w:top w:val="nil"/>
              <w:left w:val="single" w:sz="4" w:space="0" w:color="auto"/>
              <w:bottom w:val="nil"/>
              <w:right w:val="single" w:sz="4" w:space="0" w:color="auto"/>
            </w:tcBorders>
            <w:shd w:val="clear" w:color="000000" w:fill="F2F2F2"/>
            <w:vAlign w:val="center"/>
            <w:hideMark/>
          </w:tcPr>
          <w:p w14:paraId="053ECF69"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Uchazeč popíše způsob naplnění tohoto povinného parametru včetně značkové specifikace nabízených dodávek</w:t>
            </w:r>
          </w:p>
        </w:tc>
        <w:tc>
          <w:tcPr>
            <w:tcW w:w="2403" w:type="dxa"/>
            <w:vMerge w:val="restart"/>
            <w:tcBorders>
              <w:top w:val="nil"/>
              <w:left w:val="single" w:sz="4" w:space="0" w:color="auto"/>
              <w:bottom w:val="nil"/>
              <w:right w:val="single" w:sz="8" w:space="0" w:color="auto"/>
            </w:tcBorders>
            <w:shd w:val="clear" w:color="000000" w:fill="F2F2F2"/>
            <w:vAlign w:val="center"/>
            <w:hideMark/>
          </w:tcPr>
          <w:p w14:paraId="55A790B6"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Uchazeč uvede odkaz na přiloženou část nabídky, kde je možné ověřit naplnění parametru</w:t>
            </w:r>
          </w:p>
        </w:tc>
      </w:tr>
      <w:tr w:rsidR="008D4FC8" w:rsidRPr="008D4FC8" w14:paraId="4EBD24D4" w14:textId="77777777" w:rsidTr="008D4FC8">
        <w:trPr>
          <w:trHeight w:val="315"/>
        </w:trPr>
        <w:tc>
          <w:tcPr>
            <w:tcW w:w="1124" w:type="dxa"/>
            <w:vMerge/>
            <w:tcBorders>
              <w:top w:val="nil"/>
              <w:left w:val="single" w:sz="8" w:space="0" w:color="auto"/>
              <w:bottom w:val="single" w:sz="4" w:space="0" w:color="auto"/>
              <w:right w:val="single" w:sz="4" w:space="0" w:color="auto"/>
            </w:tcBorders>
            <w:vAlign w:val="center"/>
            <w:hideMark/>
          </w:tcPr>
          <w:p w14:paraId="5566C2D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4" w:space="0" w:color="auto"/>
              <w:bottom w:val="single" w:sz="4" w:space="0" w:color="auto"/>
              <w:right w:val="single" w:sz="4" w:space="0" w:color="auto"/>
            </w:tcBorders>
            <w:vAlign w:val="center"/>
            <w:hideMark/>
          </w:tcPr>
          <w:p w14:paraId="624DC03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5951" w:type="dxa"/>
            <w:vMerge/>
            <w:tcBorders>
              <w:top w:val="nil"/>
              <w:left w:val="single" w:sz="4" w:space="0" w:color="auto"/>
              <w:bottom w:val="single" w:sz="4" w:space="0" w:color="auto"/>
              <w:right w:val="single" w:sz="4" w:space="0" w:color="auto"/>
            </w:tcBorders>
            <w:vAlign w:val="center"/>
            <w:hideMark/>
          </w:tcPr>
          <w:p w14:paraId="5BD4FA5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2863" w:type="dxa"/>
            <w:vMerge/>
            <w:tcBorders>
              <w:top w:val="nil"/>
              <w:left w:val="single" w:sz="4" w:space="0" w:color="auto"/>
              <w:bottom w:val="nil"/>
              <w:right w:val="single" w:sz="4" w:space="0" w:color="auto"/>
            </w:tcBorders>
            <w:vAlign w:val="center"/>
            <w:hideMark/>
          </w:tcPr>
          <w:p w14:paraId="1493CF9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2403" w:type="dxa"/>
            <w:vMerge/>
            <w:tcBorders>
              <w:top w:val="nil"/>
              <w:left w:val="single" w:sz="4" w:space="0" w:color="auto"/>
              <w:bottom w:val="nil"/>
              <w:right w:val="single" w:sz="8" w:space="0" w:color="auto"/>
            </w:tcBorders>
            <w:vAlign w:val="center"/>
            <w:hideMark/>
          </w:tcPr>
          <w:p w14:paraId="058EB4DD" w14:textId="77777777" w:rsidR="008D4FC8" w:rsidRPr="008D4FC8" w:rsidRDefault="008D4FC8" w:rsidP="008D4FC8">
            <w:pPr>
              <w:spacing w:after="0"/>
              <w:jc w:val="left"/>
              <w:rPr>
                <w:rFonts w:ascii="Calibri" w:eastAsia="Times New Roman" w:hAnsi="Calibri"/>
                <w:b/>
                <w:bCs/>
                <w:color w:val="000000"/>
                <w:sz w:val="16"/>
                <w:szCs w:val="16"/>
                <w:lang w:eastAsia="cs-CZ"/>
              </w:rPr>
            </w:pPr>
          </w:p>
        </w:tc>
      </w:tr>
      <w:tr w:rsidR="008D4FC8" w:rsidRPr="008D4FC8" w14:paraId="41F91562" w14:textId="77777777" w:rsidTr="008D4FC8">
        <w:trPr>
          <w:trHeight w:val="450"/>
        </w:trPr>
        <w:tc>
          <w:tcPr>
            <w:tcW w:w="11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3AA8BD"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lastRenderedPageBreak/>
              <w:t>Rozhraní, integrace</w:t>
            </w:r>
          </w:p>
        </w:tc>
        <w:tc>
          <w:tcPr>
            <w:tcW w:w="1276"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A683EB0" w14:textId="77777777" w:rsidR="008D4FC8" w:rsidRPr="00BB175F" w:rsidRDefault="008D4FC8" w:rsidP="008D4FC8">
            <w:pPr>
              <w:spacing w:after="0"/>
              <w:jc w:val="left"/>
              <w:rPr>
                <w:rFonts w:ascii="Calibri" w:eastAsia="Times New Roman" w:hAnsi="Calibri"/>
                <w:bCs/>
                <w:color w:val="000000"/>
                <w:sz w:val="16"/>
                <w:szCs w:val="16"/>
                <w:lang w:eastAsia="cs-CZ"/>
              </w:rPr>
            </w:pPr>
            <w:r w:rsidRPr="00BB175F">
              <w:rPr>
                <w:rFonts w:ascii="Calibri" w:eastAsia="Times New Roman" w:hAnsi="Calibri"/>
                <w:bCs/>
                <w:color w:val="000000"/>
                <w:sz w:val="16"/>
                <w:szCs w:val="16"/>
                <w:lang w:eastAsia="cs-CZ"/>
              </w:rPr>
              <w:t>Uživatelské rozhraní</w:t>
            </w:r>
          </w:p>
        </w:tc>
        <w:tc>
          <w:tcPr>
            <w:tcW w:w="5951" w:type="dxa"/>
            <w:tcBorders>
              <w:top w:val="single" w:sz="8" w:space="0" w:color="auto"/>
              <w:left w:val="single" w:sz="8" w:space="0" w:color="auto"/>
              <w:bottom w:val="nil"/>
              <w:right w:val="nil"/>
            </w:tcBorders>
            <w:shd w:val="clear" w:color="auto" w:fill="auto"/>
            <w:vAlign w:val="center"/>
            <w:hideMark/>
          </w:tcPr>
          <w:p w14:paraId="3C39D29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Sjednocené, moderní uživatelské rozhraní, ovládání obdobné standardu MS Office či webových aplikací.</w:t>
            </w:r>
          </w:p>
        </w:tc>
        <w:tc>
          <w:tcPr>
            <w:tcW w:w="2863"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1150868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single" w:sz="8" w:space="0" w:color="auto"/>
              <w:left w:val="nil"/>
              <w:bottom w:val="single" w:sz="4" w:space="0" w:color="auto"/>
              <w:right w:val="single" w:sz="8" w:space="0" w:color="auto"/>
            </w:tcBorders>
            <w:shd w:val="clear" w:color="auto" w:fill="auto"/>
            <w:noWrap/>
            <w:vAlign w:val="bottom"/>
            <w:hideMark/>
          </w:tcPr>
          <w:p w14:paraId="5944DDA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A7D9C52"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BB61AC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42E3DC0" w14:textId="77777777" w:rsidR="008D4FC8" w:rsidRPr="00BB175F" w:rsidRDefault="008D4FC8" w:rsidP="008D4FC8">
            <w:pPr>
              <w:spacing w:after="0"/>
              <w:jc w:val="left"/>
              <w:rPr>
                <w:rFonts w:ascii="Calibri" w:eastAsia="Times New Roman" w:hAnsi="Calibri"/>
                <w:bCs/>
                <w:color w:val="000000"/>
                <w:sz w:val="16"/>
                <w:szCs w:val="16"/>
                <w:lang w:eastAsia="cs-CZ"/>
              </w:rPr>
            </w:pPr>
            <w:r w:rsidRPr="00BB175F">
              <w:rPr>
                <w:rFonts w:ascii="Calibri" w:eastAsia="Times New Roman" w:hAnsi="Calibri"/>
                <w:bCs/>
                <w:color w:val="000000"/>
                <w:sz w:val="16"/>
                <w:szCs w:val="16"/>
                <w:lang w:eastAsia="cs-CZ"/>
              </w:rPr>
              <w:t>Správa identit uživatelů</w:t>
            </w:r>
          </w:p>
        </w:tc>
        <w:tc>
          <w:tcPr>
            <w:tcW w:w="5951" w:type="dxa"/>
            <w:tcBorders>
              <w:top w:val="single" w:sz="4" w:space="0" w:color="auto"/>
              <w:left w:val="single" w:sz="8" w:space="0" w:color="auto"/>
              <w:bottom w:val="single" w:sz="4" w:space="0" w:color="auto"/>
              <w:right w:val="nil"/>
            </w:tcBorders>
            <w:shd w:val="clear" w:color="auto" w:fill="auto"/>
            <w:vAlign w:val="center"/>
            <w:hideMark/>
          </w:tcPr>
          <w:p w14:paraId="5D03D97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Centrální správa identita uživatelů a jejich oprávnění. Využití </w:t>
            </w:r>
            <w:proofErr w:type="spellStart"/>
            <w:r w:rsidRPr="008D4FC8">
              <w:rPr>
                <w:rFonts w:ascii="Calibri" w:eastAsia="Times New Roman" w:hAnsi="Calibri"/>
                <w:color w:val="000000"/>
                <w:sz w:val="16"/>
                <w:szCs w:val="16"/>
                <w:lang w:eastAsia="cs-CZ"/>
              </w:rPr>
              <w:t>Active</w:t>
            </w:r>
            <w:proofErr w:type="spellEnd"/>
            <w:r w:rsidRPr="008D4FC8">
              <w:rPr>
                <w:rFonts w:ascii="Calibri" w:eastAsia="Times New Roman" w:hAnsi="Calibri"/>
                <w:color w:val="000000"/>
                <w:sz w:val="16"/>
                <w:szCs w:val="16"/>
                <w:lang w:eastAsia="cs-CZ"/>
              </w:rPr>
              <w:t xml:space="preserve"> </w:t>
            </w:r>
            <w:proofErr w:type="spellStart"/>
            <w:r w:rsidRPr="008D4FC8">
              <w:rPr>
                <w:rFonts w:ascii="Calibri" w:eastAsia="Times New Roman" w:hAnsi="Calibri"/>
                <w:color w:val="000000"/>
                <w:sz w:val="16"/>
                <w:szCs w:val="16"/>
                <w:lang w:eastAsia="cs-CZ"/>
              </w:rPr>
              <w:t>Directory</w:t>
            </w:r>
            <w:proofErr w:type="spellEnd"/>
            <w:r w:rsidRPr="008D4FC8">
              <w:rPr>
                <w:rFonts w:ascii="Calibri" w:eastAsia="Times New Roman" w:hAnsi="Calibri"/>
                <w:color w:val="000000"/>
                <w:sz w:val="16"/>
                <w:szCs w:val="16"/>
                <w:lang w:eastAsia="cs-CZ"/>
              </w:rPr>
              <w:t xml:space="preserve">  pro autentizaci, EOS pro autorizaci.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7B9DD6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07097D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2B8DFC6" w14:textId="77777777" w:rsidTr="008D4FC8">
        <w:trPr>
          <w:trHeight w:val="67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FE2DCB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D3B2E87" w14:textId="77777777" w:rsidR="008D4FC8" w:rsidRPr="00BB175F" w:rsidRDefault="008D4FC8" w:rsidP="008D4FC8">
            <w:pPr>
              <w:spacing w:after="0"/>
              <w:jc w:val="left"/>
              <w:rPr>
                <w:rFonts w:ascii="Calibri" w:eastAsia="Times New Roman" w:hAnsi="Calibri"/>
                <w:bCs/>
                <w:color w:val="000000"/>
                <w:sz w:val="16"/>
                <w:szCs w:val="16"/>
                <w:lang w:eastAsia="cs-CZ"/>
              </w:rPr>
            </w:pPr>
            <w:r w:rsidRPr="00BB175F">
              <w:rPr>
                <w:rFonts w:ascii="Calibri" w:eastAsia="Times New Roman" w:hAnsi="Calibri"/>
                <w:bCs/>
                <w:color w:val="000000"/>
                <w:sz w:val="16"/>
                <w:szCs w:val="16"/>
                <w:lang w:eastAsia="cs-CZ"/>
              </w:rPr>
              <w:t>Integrace se spisovou službou úřadu</w:t>
            </w:r>
          </w:p>
        </w:tc>
        <w:tc>
          <w:tcPr>
            <w:tcW w:w="5951" w:type="dxa"/>
            <w:tcBorders>
              <w:top w:val="nil"/>
              <w:left w:val="single" w:sz="8" w:space="0" w:color="auto"/>
              <w:bottom w:val="single" w:sz="4" w:space="0" w:color="auto"/>
              <w:right w:val="nil"/>
            </w:tcBorders>
            <w:shd w:val="clear" w:color="auto" w:fill="auto"/>
            <w:vAlign w:val="center"/>
            <w:hideMark/>
          </w:tcPr>
          <w:p w14:paraId="1274D23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Systém bude integrován se spisovou službou úřadu.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6B1C52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CE61B7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C947028" w14:textId="77777777" w:rsidTr="008D4FC8">
        <w:trPr>
          <w:trHeight w:val="70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96DA19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DDC3495" w14:textId="77777777" w:rsidR="008D4FC8" w:rsidRPr="00BB175F" w:rsidRDefault="008D4FC8" w:rsidP="008D4FC8">
            <w:pPr>
              <w:spacing w:after="0"/>
              <w:jc w:val="left"/>
              <w:rPr>
                <w:rFonts w:ascii="Calibri" w:eastAsia="Times New Roman" w:hAnsi="Calibri"/>
                <w:bCs/>
                <w:color w:val="000000"/>
                <w:sz w:val="16"/>
                <w:szCs w:val="16"/>
                <w:lang w:eastAsia="cs-CZ"/>
              </w:rPr>
            </w:pPr>
            <w:r w:rsidRPr="00BB175F">
              <w:rPr>
                <w:rFonts w:ascii="Calibri" w:eastAsia="Times New Roman" w:hAnsi="Calibri"/>
                <w:bCs/>
                <w:color w:val="000000"/>
                <w:sz w:val="16"/>
                <w:szCs w:val="16"/>
                <w:lang w:eastAsia="cs-CZ"/>
              </w:rPr>
              <w:t>Integrace s ISZR</w:t>
            </w:r>
          </w:p>
        </w:tc>
        <w:tc>
          <w:tcPr>
            <w:tcW w:w="5951" w:type="dxa"/>
            <w:tcBorders>
              <w:top w:val="nil"/>
              <w:left w:val="single" w:sz="8" w:space="0" w:color="auto"/>
              <w:bottom w:val="single" w:sz="4" w:space="0" w:color="auto"/>
              <w:right w:val="nil"/>
            </w:tcBorders>
            <w:shd w:val="clear" w:color="auto" w:fill="auto"/>
            <w:vAlign w:val="center"/>
            <w:hideMark/>
          </w:tcPr>
          <w:p w14:paraId="43DA0A1A" w14:textId="4904536C"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Nabízený systém bude integrován se systémem základních registrů ISZR - o</w:t>
            </w:r>
            <w:r w:rsidR="003F06B2">
              <w:rPr>
                <w:rFonts w:ascii="Calibri" w:eastAsia="Times New Roman" w:hAnsi="Calibri"/>
                <w:color w:val="000000"/>
                <w:sz w:val="16"/>
                <w:szCs w:val="16"/>
                <w:lang w:eastAsia="cs-CZ"/>
              </w:rPr>
              <w:t>věření min. ROB, ROS a RUIAN. Ř</w:t>
            </w:r>
            <w:r w:rsidRPr="008D4FC8">
              <w:rPr>
                <w:rFonts w:ascii="Calibri" w:eastAsia="Times New Roman" w:hAnsi="Calibri"/>
                <w:color w:val="000000"/>
                <w:sz w:val="16"/>
                <w:szCs w:val="16"/>
                <w:lang w:eastAsia="cs-CZ"/>
              </w:rPr>
              <w:t xml:space="preserve">ízení přístupu dle činnostních rolí, získávaných on-line z EOS.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1EC2565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2077521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CC85CBA" w14:textId="77777777" w:rsidTr="008D4FC8">
        <w:trPr>
          <w:trHeight w:val="72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59F6C6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00F466C" w14:textId="77777777" w:rsidR="008D4FC8" w:rsidRPr="00BB175F" w:rsidRDefault="008D4FC8" w:rsidP="008D4FC8">
            <w:pPr>
              <w:spacing w:after="0"/>
              <w:jc w:val="left"/>
              <w:rPr>
                <w:rFonts w:ascii="Calibri" w:eastAsia="Times New Roman" w:hAnsi="Calibri"/>
                <w:bCs/>
                <w:color w:val="000000"/>
                <w:sz w:val="16"/>
                <w:szCs w:val="16"/>
                <w:lang w:eastAsia="cs-CZ"/>
              </w:rPr>
            </w:pPr>
            <w:r w:rsidRPr="00BB175F">
              <w:rPr>
                <w:rFonts w:ascii="Calibri" w:eastAsia="Times New Roman" w:hAnsi="Calibri"/>
                <w:bCs/>
                <w:color w:val="000000"/>
                <w:sz w:val="16"/>
                <w:szCs w:val="16"/>
                <w:lang w:eastAsia="cs-CZ"/>
              </w:rPr>
              <w:t>Vazba na portál úředníka</w:t>
            </w:r>
          </w:p>
        </w:tc>
        <w:tc>
          <w:tcPr>
            <w:tcW w:w="5951" w:type="dxa"/>
            <w:tcBorders>
              <w:top w:val="nil"/>
              <w:left w:val="single" w:sz="8" w:space="0" w:color="auto"/>
              <w:bottom w:val="single" w:sz="4" w:space="0" w:color="auto"/>
              <w:right w:val="nil"/>
            </w:tcBorders>
            <w:shd w:val="clear" w:color="auto" w:fill="auto"/>
            <w:vAlign w:val="center"/>
            <w:hideMark/>
          </w:tcPr>
          <w:p w14:paraId="750D793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Systém umožní přenos dat pro portál úředníka formou webových služeb</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0F141D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627710B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66B97BD" w14:textId="77777777" w:rsidTr="008D4FC8">
        <w:trPr>
          <w:trHeight w:val="82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D99F9C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110A16" w14:textId="77777777" w:rsidR="008D4FC8" w:rsidRPr="003F06B2" w:rsidRDefault="008D4FC8" w:rsidP="008D4FC8">
            <w:pPr>
              <w:spacing w:after="0"/>
              <w:jc w:val="left"/>
              <w:rPr>
                <w:rFonts w:ascii="Calibri" w:eastAsia="Times New Roman" w:hAnsi="Calibri"/>
                <w:bCs/>
                <w:color w:val="000000"/>
                <w:sz w:val="16"/>
                <w:szCs w:val="16"/>
                <w:lang w:eastAsia="cs-CZ"/>
              </w:rPr>
            </w:pPr>
            <w:r w:rsidRPr="003F06B2">
              <w:rPr>
                <w:rFonts w:ascii="Calibri" w:eastAsia="Times New Roman" w:hAnsi="Calibri"/>
                <w:bCs/>
                <w:color w:val="000000"/>
                <w:sz w:val="16"/>
                <w:szCs w:val="16"/>
                <w:lang w:eastAsia="cs-CZ"/>
              </w:rPr>
              <w:t>Vazba na účetnictví</w:t>
            </w:r>
          </w:p>
        </w:tc>
        <w:tc>
          <w:tcPr>
            <w:tcW w:w="5951" w:type="dxa"/>
            <w:tcBorders>
              <w:top w:val="nil"/>
              <w:left w:val="single" w:sz="8" w:space="0" w:color="auto"/>
              <w:bottom w:val="single" w:sz="4" w:space="0" w:color="auto"/>
              <w:right w:val="nil"/>
            </w:tcBorders>
            <w:shd w:val="clear" w:color="auto" w:fill="auto"/>
            <w:vAlign w:val="center"/>
            <w:hideMark/>
          </w:tcPr>
          <w:p w14:paraId="03BCB4F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Systém umožní přenos dat do ekonomického subsystému úřadu formou webových služeb</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976A8A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583077A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CDD283C"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8A9057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743EEAB" w14:textId="77777777" w:rsidR="008D4FC8" w:rsidRPr="003F06B2" w:rsidRDefault="008D4FC8" w:rsidP="008D4FC8">
            <w:pPr>
              <w:spacing w:after="0"/>
              <w:jc w:val="left"/>
              <w:rPr>
                <w:rFonts w:ascii="Calibri" w:eastAsia="Times New Roman" w:hAnsi="Calibri"/>
                <w:bCs/>
                <w:color w:val="000000"/>
                <w:sz w:val="16"/>
                <w:szCs w:val="16"/>
                <w:lang w:eastAsia="cs-CZ"/>
              </w:rPr>
            </w:pPr>
            <w:r w:rsidRPr="003F06B2">
              <w:rPr>
                <w:rFonts w:ascii="Calibri" w:eastAsia="Times New Roman" w:hAnsi="Calibri"/>
                <w:bCs/>
                <w:color w:val="000000"/>
                <w:sz w:val="16"/>
                <w:szCs w:val="16"/>
                <w:lang w:eastAsia="cs-CZ"/>
              </w:rPr>
              <w:t>Jazyková mutace</w:t>
            </w:r>
          </w:p>
        </w:tc>
        <w:tc>
          <w:tcPr>
            <w:tcW w:w="5951" w:type="dxa"/>
            <w:tcBorders>
              <w:top w:val="nil"/>
              <w:left w:val="single" w:sz="8" w:space="0" w:color="auto"/>
              <w:bottom w:val="single" w:sz="4" w:space="0" w:color="auto"/>
              <w:right w:val="nil"/>
            </w:tcBorders>
            <w:shd w:val="clear" w:color="auto" w:fill="auto"/>
            <w:vAlign w:val="center"/>
            <w:hideMark/>
          </w:tcPr>
          <w:p w14:paraId="5427C566" w14:textId="77777777" w:rsidR="008D4FC8" w:rsidRPr="003F06B2" w:rsidRDefault="008D4FC8" w:rsidP="008D4FC8">
            <w:pPr>
              <w:spacing w:after="0"/>
              <w:jc w:val="left"/>
              <w:rPr>
                <w:rFonts w:ascii="Calibri" w:eastAsia="Times New Roman" w:hAnsi="Calibri"/>
                <w:bCs/>
                <w:color w:val="000000"/>
                <w:sz w:val="16"/>
                <w:szCs w:val="16"/>
                <w:lang w:eastAsia="cs-CZ"/>
              </w:rPr>
            </w:pPr>
            <w:r w:rsidRPr="003F06B2">
              <w:rPr>
                <w:rFonts w:ascii="Calibri" w:eastAsia="Times New Roman" w:hAnsi="Calibri"/>
                <w:bCs/>
                <w:color w:val="000000"/>
                <w:sz w:val="16"/>
                <w:szCs w:val="16"/>
                <w:lang w:eastAsia="cs-CZ"/>
              </w:rPr>
              <w:t>Plná lokalizace</w:t>
            </w:r>
            <w:r w:rsidRPr="003F06B2">
              <w:rPr>
                <w:rFonts w:ascii="Calibri" w:eastAsia="Times New Roman" w:hAnsi="Calibri"/>
                <w:color w:val="000000"/>
                <w:sz w:val="16"/>
                <w:szCs w:val="16"/>
                <w:lang w:eastAsia="cs-CZ"/>
              </w:rPr>
              <w:t xml:space="preserve"> v českém jazyce.</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14CCCB8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FA7A12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A7CE1C2"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B5D56F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DD50E4" w14:textId="77777777" w:rsidR="008D4FC8" w:rsidRPr="003F06B2" w:rsidRDefault="008D4FC8" w:rsidP="008D4FC8">
            <w:pPr>
              <w:spacing w:after="0"/>
              <w:jc w:val="left"/>
              <w:rPr>
                <w:rFonts w:ascii="Calibri" w:eastAsia="Times New Roman" w:hAnsi="Calibri"/>
                <w:bCs/>
                <w:color w:val="000000"/>
                <w:sz w:val="16"/>
                <w:szCs w:val="16"/>
                <w:lang w:eastAsia="cs-CZ"/>
              </w:rPr>
            </w:pPr>
            <w:r w:rsidRPr="003F06B2">
              <w:rPr>
                <w:rFonts w:ascii="Calibri" w:eastAsia="Times New Roman" w:hAnsi="Calibri"/>
                <w:bCs/>
                <w:color w:val="000000"/>
                <w:sz w:val="16"/>
                <w:szCs w:val="16"/>
                <w:lang w:eastAsia="cs-CZ"/>
              </w:rPr>
              <w:t>Zpracování dat</w:t>
            </w:r>
          </w:p>
        </w:tc>
        <w:tc>
          <w:tcPr>
            <w:tcW w:w="5951" w:type="dxa"/>
            <w:tcBorders>
              <w:top w:val="nil"/>
              <w:left w:val="single" w:sz="8" w:space="0" w:color="auto"/>
              <w:bottom w:val="single" w:sz="4" w:space="0" w:color="auto"/>
              <w:right w:val="nil"/>
            </w:tcBorders>
            <w:shd w:val="clear" w:color="auto" w:fill="auto"/>
            <w:vAlign w:val="center"/>
            <w:hideMark/>
          </w:tcPr>
          <w:p w14:paraId="7374FF8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Transakční zpracování dat v databázi na databázové platformě MS SQL.</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A7C1A4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60860F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FAC6D6D" w14:textId="77777777" w:rsidTr="008D4FC8">
        <w:trPr>
          <w:trHeight w:val="67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3EDBD4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281F7C5" w14:textId="77777777" w:rsidR="008D4FC8" w:rsidRPr="003F06B2" w:rsidRDefault="008D4FC8" w:rsidP="008D4FC8">
            <w:pPr>
              <w:spacing w:after="0"/>
              <w:jc w:val="left"/>
              <w:rPr>
                <w:rFonts w:ascii="Calibri" w:eastAsia="Times New Roman" w:hAnsi="Calibri"/>
                <w:bCs/>
                <w:color w:val="000000"/>
                <w:sz w:val="16"/>
                <w:szCs w:val="16"/>
                <w:lang w:eastAsia="cs-CZ"/>
              </w:rPr>
            </w:pPr>
            <w:r w:rsidRPr="003F06B2">
              <w:rPr>
                <w:rFonts w:ascii="Calibri" w:eastAsia="Times New Roman" w:hAnsi="Calibri"/>
                <w:bCs/>
                <w:color w:val="000000"/>
                <w:sz w:val="16"/>
                <w:szCs w:val="16"/>
                <w:lang w:eastAsia="cs-CZ"/>
              </w:rPr>
              <w:t>Komunikační rozhraní</w:t>
            </w:r>
          </w:p>
        </w:tc>
        <w:tc>
          <w:tcPr>
            <w:tcW w:w="5951" w:type="dxa"/>
            <w:tcBorders>
              <w:top w:val="nil"/>
              <w:left w:val="single" w:sz="8" w:space="0" w:color="auto"/>
              <w:bottom w:val="single" w:sz="4" w:space="0" w:color="auto"/>
              <w:right w:val="nil"/>
            </w:tcBorders>
            <w:shd w:val="clear" w:color="auto" w:fill="auto"/>
            <w:vAlign w:val="center"/>
            <w:hideMark/>
          </w:tcPr>
          <w:p w14:paraId="7F0B314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Popsané otevřené aplikační rozhraní pro obousměrnou komunikaci s dalšími aplikacemi (API). Aplikační rozhraní bude součástí dodávky a jeho využití nebude vyžadovat žádné další náklady pro zadavatele (např. dokupování licencí apod.).</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B6D920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6587394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5B30388"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4EE96E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2037D8" w14:textId="77777777" w:rsidR="008D4FC8" w:rsidRPr="003F06B2" w:rsidRDefault="008D4FC8" w:rsidP="008D4FC8">
            <w:pPr>
              <w:spacing w:after="0"/>
              <w:jc w:val="left"/>
              <w:rPr>
                <w:rFonts w:ascii="Calibri" w:eastAsia="Times New Roman" w:hAnsi="Calibri"/>
                <w:bCs/>
                <w:color w:val="000000"/>
                <w:sz w:val="16"/>
                <w:szCs w:val="16"/>
                <w:lang w:eastAsia="cs-CZ"/>
              </w:rPr>
            </w:pPr>
            <w:r w:rsidRPr="003F06B2">
              <w:rPr>
                <w:rFonts w:ascii="Calibri" w:eastAsia="Times New Roman" w:hAnsi="Calibri"/>
                <w:bCs/>
                <w:color w:val="000000"/>
                <w:sz w:val="16"/>
                <w:szCs w:val="16"/>
                <w:lang w:eastAsia="cs-CZ"/>
              </w:rPr>
              <w:t>Historizace dat</w:t>
            </w:r>
          </w:p>
        </w:tc>
        <w:tc>
          <w:tcPr>
            <w:tcW w:w="5951" w:type="dxa"/>
            <w:tcBorders>
              <w:top w:val="nil"/>
              <w:left w:val="single" w:sz="8" w:space="0" w:color="auto"/>
              <w:bottom w:val="single" w:sz="4" w:space="0" w:color="auto"/>
              <w:right w:val="nil"/>
            </w:tcBorders>
            <w:shd w:val="clear" w:color="auto" w:fill="auto"/>
            <w:vAlign w:val="center"/>
            <w:hideMark/>
          </w:tcPr>
          <w:p w14:paraId="5F0B331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Evidence o veškerých změnách provedených uživateli v datech.</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4BB38FC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29EEB3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81EE4D4" w14:textId="77777777" w:rsidTr="008D4FC8">
        <w:trPr>
          <w:trHeight w:val="67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F9B751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E7B06C" w14:textId="77777777" w:rsidR="008D4FC8" w:rsidRPr="003F06B2" w:rsidRDefault="008D4FC8" w:rsidP="008D4FC8">
            <w:pPr>
              <w:spacing w:after="0"/>
              <w:jc w:val="left"/>
              <w:rPr>
                <w:rFonts w:ascii="Calibri" w:eastAsia="Times New Roman" w:hAnsi="Calibri"/>
                <w:bCs/>
                <w:color w:val="000000"/>
                <w:sz w:val="16"/>
                <w:szCs w:val="16"/>
                <w:lang w:eastAsia="cs-CZ"/>
              </w:rPr>
            </w:pPr>
            <w:r w:rsidRPr="003F06B2">
              <w:rPr>
                <w:rFonts w:ascii="Calibri" w:eastAsia="Times New Roman" w:hAnsi="Calibri"/>
                <w:bCs/>
                <w:color w:val="000000"/>
                <w:sz w:val="16"/>
                <w:szCs w:val="16"/>
                <w:lang w:eastAsia="cs-CZ"/>
              </w:rPr>
              <w:t>Prezentace dat</w:t>
            </w:r>
          </w:p>
        </w:tc>
        <w:tc>
          <w:tcPr>
            <w:tcW w:w="5951" w:type="dxa"/>
            <w:tcBorders>
              <w:top w:val="nil"/>
              <w:left w:val="single" w:sz="8" w:space="0" w:color="auto"/>
              <w:bottom w:val="single" w:sz="4" w:space="0" w:color="auto"/>
              <w:right w:val="nil"/>
            </w:tcBorders>
            <w:shd w:val="clear" w:color="auto" w:fill="auto"/>
            <w:vAlign w:val="center"/>
            <w:hideMark/>
          </w:tcPr>
          <w:p w14:paraId="3867FA7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Pohledy nad daty (výsledky hledání, základní pohledy, atd.) bude možno třídit dle různých kritérií vybraných uživatelem, následně tisknout nebo exportovat do běžných formátů.</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801BD1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5C0FFB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CBA2214" w14:textId="77777777" w:rsidTr="008D4FC8">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43D483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E0876D0" w14:textId="77777777" w:rsidR="008D4FC8" w:rsidRPr="003F06B2" w:rsidRDefault="008D4FC8" w:rsidP="008D4FC8">
            <w:pPr>
              <w:spacing w:after="0"/>
              <w:jc w:val="left"/>
              <w:rPr>
                <w:rFonts w:ascii="Calibri" w:eastAsia="Times New Roman" w:hAnsi="Calibri"/>
                <w:bCs/>
                <w:color w:val="000000"/>
                <w:sz w:val="16"/>
                <w:szCs w:val="16"/>
                <w:lang w:eastAsia="cs-CZ"/>
              </w:rPr>
            </w:pPr>
            <w:r w:rsidRPr="003F06B2">
              <w:rPr>
                <w:rFonts w:ascii="Calibri" w:eastAsia="Times New Roman" w:hAnsi="Calibri"/>
                <w:bCs/>
                <w:color w:val="000000"/>
                <w:sz w:val="16"/>
                <w:szCs w:val="16"/>
                <w:lang w:eastAsia="cs-CZ"/>
              </w:rPr>
              <w:t>Výstupní sestavy</w:t>
            </w:r>
          </w:p>
        </w:tc>
        <w:tc>
          <w:tcPr>
            <w:tcW w:w="5951" w:type="dxa"/>
            <w:tcBorders>
              <w:top w:val="nil"/>
              <w:left w:val="single" w:sz="8" w:space="0" w:color="auto"/>
              <w:bottom w:val="single" w:sz="4" w:space="0" w:color="auto"/>
              <w:right w:val="nil"/>
            </w:tcBorders>
            <w:shd w:val="clear" w:color="auto" w:fill="auto"/>
            <w:vAlign w:val="center"/>
            <w:hideMark/>
          </w:tcPr>
          <w:p w14:paraId="55C30E1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Tvorba vlastních výstupních sestav ve všech agendách jednoduchými prostředky uživatelů.</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37012E7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35FC94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6BE929E" w14:textId="77777777" w:rsidTr="008D4FC8">
        <w:trPr>
          <w:trHeight w:val="46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BBA3F5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single" w:sz="8" w:space="0" w:color="auto"/>
              <w:bottom w:val="single" w:sz="8" w:space="0" w:color="auto"/>
              <w:right w:val="single" w:sz="4" w:space="0" w:color="auto"/>
            </w:tcBorders>
            <w:shd w:val="clear" w:color="auto" w:fill="auto"/>
            <w:vAlign w:val="center"/>
            <w:hideMark/>
          </w:tcPr>
          <w:p w14:paraId="531BEF66" w14:textId="77777777" w:rsidR="008D4FC8" w:rsidRPr="003F06B2" w:rsidRDefault="008D4FC8" w:rsidP="008D4FC8">
            <w:pPr>
              <w:spacing w:after="0"/>
              <w:jc w:val="left"/>
              <w:rPr>
                <w:rFonts w:ascii="Calibri" w:eastAsia="Times New Roman" w:hAnsi="Calibri"/>
                <w:bCs/>
                <w:color w:val="000000"/>
                <w:sz w:val="16"/>
                <w:szCs w:val="16"/>
                <w:lang w:eastAsia="cs-CZ"/>
              </w:rPr>
            </w:pPr>
            <w:r w:rsidRPr="003F06B2">
              <w:rPr>
                <w:rFonts w:ascii="Calibri" w:eastAsia="Times New Roman" w:hAnsi="Calibri"/>
                <w:bCs/>
                <w:color w:val="000000"/>
                <w:sz w:val="16"/>
                <w:szCs w:val="16"/>
                <w:lang w:eastAsia="cs-CZ"/>
              </w:rPr>
              <w:t>e-</w:t>
            </w:r>
            <w:proofErr w:type="spellStart"/>
            <w:r w:rsidRPr="003F06B2">
              <w:rPr>
                <w:rFonts w:ascii="Calibri" w:eastAsia="Times New Roman" w:hAnsi="Calibri"/>
                <w:bCs/>
                <w:color w:val="000000"/>
                <w:sz w:val="16"/>
                <w:szCs w:val="16"/>
                <w:lang w:eastAsia="cs-CZ"/>
              </w:rPr>
              <w:t>Learning</w:t>
            </w:r>
            <w:proofErr w:type="spellEnd"/>
            <w:r w:rsidRPr="003F06B2">
              <w:rPr>
                <w:rFonts w:ascii="Calibri" w:eastAsia="Times New Roman" w:hAnsi="Calibri"/>
                <w:bCs/>
                <w:color w:val="000000"/>
                <w:sz w:val="16"/>
                <w:szCs w:val="16"/>
                <w:lang w:eastAsia="cs-CZ"/>
              </w:rPr>
              <w:t xml:space="preserve"> uživatelů</w:t>
            </w:r>
          </w:p>
        </w:tc>
        <w:tc>
          <w:tcPr>
            <w:tcW w:w="5951" w:type="dxa"/>
            <w:tcBorders>
              <w:top w:val="nil"/>
              <w:left w:val="single" w:sz="8" w:space="0" w:color="auto"/>
              <w:bottom w:val="single" w:sz="8" w:space="0" w:color="auto"/>
              <w:right w:val="nil"/>
            </w:tcBorders>
            <w:shd w:val="clear" w:color="auto" w:fill="auto"/>
            <w:vAlign w:val="center"/>
            <w:hideMark/>
          </w:tcPr>
          <w:p w14:paraId="71BC084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Součástí nabízeného řešení budou e-</w:t>
            </w:r>
            <w:proofErr w:type="spellStart"/>
            <w:r w:rsidRPr="008D4FC8">
              <w:rPr>
                <w:rFonts w:ascii="Calibri" w:eastAsia="Times New Roman" w:hAnsi="Calibri"/>
                <w:color w:val="000000"/>
                <w:sz w:val="16"/>
                <w:szCs w:val="16"/>
                <w:lang w:eastAsia="cs-CZ"/>
              </w:rPr>
              <w:t>learnigové</w:t>
            </w:r>
            <w:proofErr w:type="spellEnd"/>
            <w:r w:rsidRPr="008D4FC8">
              <w:rPr>
                <w:rFonts w:ascii="Calibri" w:eastAsia="Times New Roman" w:hAnsi="Calibri"/>
                <w:color w:val="000000"/>
                <w:sz w:val="16"/>
                <w:szCs w:val="16"/>
                <w:lang w:eastAsia="cs-CZ"/>
              </w:rPr>
              <w:t xml:space="preserve"> kursy - videokursy ovládání, neomezeně dostupné zaměstnancům zadavatele.</w:t>
            </w:r>
          </w:p>
        </w:tc>
        <w:tc>
          <w:tcPr>
            <w:tcW w:w="2863" w:type="dxa"/>
            <w:tcBorders>
              <w:top w:val="nil"/>
              <w:left w:val="single" w:sz="4" w:space="0" w:color="auto"/>
              <w:bottom w:val="single" w:sz="8" w:space="0" w:color="auto"/>
              <w:right w:val="single" w:sz="4" w:space="0" w:color="auto"/>
            </w:tcBorders>
            <w:shd w:val="clear" w:color="auto" w:fill="auto"/>
            <w:noWrap/>
            <w:vAlign w:val="bottom"/>
            <w:hideMark/>
          </w:tcPr>
          <w:p w14:paraId="5595642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8" w:space="0" w:color="auto"/>
              <w:right w:val="single" w:sz="8" w:space="0" w:color="auto"/>
            </w:tcBorders>
            <w:shd w:val="clear" w:color="auto" w:fill="auto"/>
            <w:noWrap/>
            <w:vAlign w:val="bottom"/>
            <w:hideMark/>
          </w:tcPr>
          <w:p w14:paraId="5F3105F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D879242" w14:textId="77777777" w:rsidTr="008D4FC8">
        <w:trPr>
          <w:trHeight w:val="675"/>
        </w:trPr>
        <w:tc>
          <w:tcPr>
            <w:tcW w:w="1124" w:type="dxa"/>
            <w:vMerge w:val="restart"/>
            <w:tcBorders>
              <w:top w:val="nil"/>
              <w:left w:val="single" w:sz="8" w:space="0" w:color="auto"/>
              <w:bottom w:val="nil"/>
              <w:right w:val="single" w:sz="8" w:space="0" w:color="auto"/>
            </w:tcBorders>
            <w:shd w:val="clear" w:color="auto" w:fill="auto"/>
            <w:vAlign w:val="center"/>
            <w:hideMark/>
          </w:tcPr>
          <w:p w14:paraId="080BB8F4"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 xml:space="preserve">Obecné společné požadavky </w:t>
            </w:r>
            <w:r w:rsidRPr="008D4FC8">
              <w:rPr>
                <w:rFonts w:ascii="Calibri" w:eastAsia="Times New Roman" w:hAnsi="Calibri"/>
                <w:b/>
                <w:bCs/>
                <w:color w:val="000000"/>
                <w:sz w:val="16"/>
                <w:szCs w:val="16"/>
                <w:lang w:eastAsia="cs-CZ"/>
              </w:rPr>
              <w:lastRenderedPageBreak/>
              <w:t xml:space="preserve">správních řízení v oblasti stavební, vodohospodářské a životního prostředí </w:t>
            </w:r>
          </w:p>
        </w:tc>
        <w:tc>
          <w:tcPr>
            <w:tcW w:w="1276" w:type="dxa"/>
            <w:tcBorders>
              <w:top w:val="nil"/>
              <w:left w:val="nil"/>
              <w:bottom w:val="single" w:sz="4" w:space="0" w:color="auto"/>
              <w:right w:val="single" w:sz="4" w:space="0" w:color="auto"/>
            </w:tcBorders>
            <w:shd w:val="clear" w:color="auto" w:fill="auto"/>
            <w:vAlign w:val="center"/>
            <w:hideMark/>
          </w:tcPr>
          <w:p w14:paraId="44C31E5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lastRenderedPageBreak/>
              <w:t>Vyhledávání</w:t>
            </w:r>
          </w:p>
        </w:tc>
        <w:tc>
          <w:tcPr>
            <w:tcW w:w="5951" w:type="dxa"/>
            <w:tcBorders>
              <w:top w:val="nil"/>
              <w:left w:val="single" w:sz="8" w:space="0" w:color="auto"/>
              <w:bottom w:val="single" w:sz="4" w:space="0" w:color="auto"/>
              <w:right w:val="nil"/>
            </w:tcBorders>
            <w:shd w:val="clear" w:color="auto" w:fill="auto"/>
            <w:vAlign w:val="center"/>
            <w:hideMark/>
          </w:tcPr>
          <w:p w14:paraId="0C70B8B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Komfortní vyhledávání jednotlivých správních řízení i údajů v nich vedených pomocí uživatelsky nastavitelných filtrů s možností zobrazení základních statistických údajů, např. o počtu jednotlivých typů řízení za odbor/oddělení, či za pracovníka.</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5B6A2F26" w14:textId="77777777" w:rsidR="008D4FC8" w:rsidRPr="008D4FC8" w:rsidRDefault="008D4FC8" w:rsidP="008D4FC8">
            <w:pPr>
              <w:spacing w:after="0"/>
              <w:jc w:val="left"/>
              <w:rPr>
                <w:rFonts w:ascii="Calibri" w:eastAsia="Times New Roman" w:hAnsi="Calibri"/>
                <w:color w:val="FF0000"/>
                <w:sz w:val="16"/>
                <w:szCs w:val="16"/>
                <w:lang w:eastAsia="cs-CZ"/>
              </w:rPr>
            </w:pPr>
            <w:r w:rsidRPr="008D4FC8">
              <w:rPr>
                <w:rFonts w:ascii="Calibri" w:eastAsia="Times New Roman" w:hAnsi="Calibri"/>
                <w:color w:val="FF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139F9E4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02EBB54"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0502DBF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59BDABC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Šablony dokumentů</w:t>
            </w:r>
          </w:p>
        </w:tc>
        <w:tc>
          <w:tcPr>
            <w:tcW w:w="5951" w:type="dxa"/>
            <w:tcBorders>
              <w:top w:val="nil"/>
              <w:left w:val="single" w:sz="8" w:space="0" w:color="auto"/>
              <w:bottom w:val="single" w:sz="4" w:space="0" w:color="auto"/>
              <w:right w:val="nil"/>
            </w:tcBorders>
            <w:shd w:val="clear" w:color="auto" w:fill="auto"/>
            <w:vAlign w:val="center"/>
            <w:hideMark/>
          </w:tcPr>
          <w:p w14:paraId="5C75018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Předpřipravené šablony pro základní dokumenty správních řízení.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FC9B13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7A0D59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49900FD"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1BD5453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5FCCC4D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Ověřování dat</w:t>
            </w:r>
          </w:p>
        </w:tc>
        <w:tc>
          <w:tcPr>
            <w:tcW w:w="5951" w:type="dxa"/>
            <w:tcBorders>
              <w:top w:val="nil"/>
              <w:left w:val="single" w:sz="8" w:space="0" w:color="auto"/>
              <w:bottom w:val="single" w:sz="4" w:space="0" w:color="auto"/>
              <w:right w:val="nil"/>
            </w:tcBorders>
            <w:shd w:val="clear" w:color="auto" w:fill="auto"/>
            <w:vAlign w:val="center"/>
            <w:hideMark/>
          </w:tcPr>
          <w:p w14:paraId="4DA94CD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Ověřování dat subjektů a objektů vůči základním registrům, včetně aktuálních změn v základních registrech.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2F6C0C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7F4E943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4A84FAE" w14:textId="77777777" w:rsidTr="008D4FC8">
        <w:trPr>
          <w:trHeight w:val="900"/>
        </w:trPr>
        <w:tc>
          <w:tcPr>
            <w:tcW w:w="1124" w:type="dxa"/>
            <w:vMerge/>
            <w:tcBorders>
              <w:top w:val="nil"/>
              <w:left w:val="single" w:sz="8" w:space="0" w:color="auto"/>
              <w:bottom w:val="nil"/>
              <w:right w:val="single" w:sz="8" w:space="0" w:color="auto"/>
            </w:tcBorders>
            <w:vAlign w:val="center"/>
            <w:hideMark/>
          </w:tcPr>
          <w:p w14:paraId="7CC798E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1041386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Výpočet a hlídání lhůt</w:t>
            </w:r>
          </w:p>
        </w:tc>
        <w:tc>
          <w:tcPr>
            <w:tcW w:w="5951" w:type="dxa"/>
            <w:tcBorders>
              <w:top w:val="nil"/>
              <w:left w:val="single" w:sz="8" w:space="0" w:color="auto"/>
              <w:bottom w:val="single" w:sz="4" w:space="0" w:color="auto"/>
              <w:right w:val="nil"/>
            </w:tcBorders>
            <w:shd w:val="clear" w:color="auto" w:fill="auto"/>
            <w:vAlign w:val="center"/>
            <w:hideMark/>
          </w:tcPr>
          <w:p w14:paraId="311D6551"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Výpočet a automatické hlídání lhůt s možností upozornění jednotlivým pracovníkům na blížící se termín vyřízení včetně vypočtení předpokládaného data nabytí právní moci. Systém zajistí zapsání a automatické započítání lhůt, které se započítávají do běhu prekluzívní lhůty.</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4FC49A1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458FB2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3CC4593" w14:textId="77777777" w:rsidTr="008D4FC8">
        <w:trPr>
          <w:trHeight w:val="1350"/>
        </w:trPr>
        <w:tc>
          <w:tcPr>
            <w:tcW w:w="1124" w:type="dxa"/>
            <w:vMerge/>
            <w:tcBorders>
              <w:top w:val="nil"/>
              <w:left w:val="single" w:sz="8" w:space="0" w:color="auto"/>
              <w:bottom w:val="nil"/>
              <w:right w:val="single" w:sz="8" w:space="0" w:color="auto"/>
            </w:tcBorders>
            <w:vAlign w:val="center"/>
            <w:hideMark/>
          </w:tcPr>
          <w:p w14:paraId="68057C6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3581A1F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Typy procesů</w:t>
            </w:r>
          </w:p>
        </w:tc>
        <w:tc>
          <w:tcPr>
            <w:tcW w:w="5951" w:type="dxa"/>
            <w:tcBorders>
              <w:top w:val="nil"/>
              <w:left w:val="single" w:sz="8" w:space="0" w:color="auto"/>
              <w:bottom w:val="single" w:sz="4" w:space="0" w:color="auto"/>
              <w:right w:val="nil"/>
            </w:tcBorders>
            <w:shd w:val="clear" w:color="auto" w:fill="auto"/>
            <w:vAlign w:val="center"/>
            <w:hideMark/>
          </w:tcPr>
          <w:p w14:paraId="492EEC20"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 xml:space="preserve">Nástroje pro vedení následujících procesů dle Správního řádu (zákon č. 500/2004 Sb., správní řád, ve znění pozdějších předpisů): Opatření obecné povahy / Předběžné opatření / Předběžná otázka / Obnova řízení / Nové řízení / Stížnosti / Přezkumné řízení /Odvolací řízení / Veřejnoprávní smlouvy /Exekuční řízení na nepeněžitá plnění /Řízení o určení právního vztahu / Řízení na místě / Uspokojení účastníka po podání žaloby ve správním soudnictví / Stížnosti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825635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D60C0A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43AE948"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0E95EFF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2924CA1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Stanoviska</w:t>
            </w:r>
          </w:p>
        </w:tc>
        <w:tc>
          <w:tcPr>
            <w:tcW w:w="5951" w:type="dxa"/>
            <w:tcBorders>
              <w:top w:val="nil"/>
              <w:left w:val="single" w:sz="8" w:space="0" w:color="auto"/>
              <w:bottom w:val="single" w:sz="4" w:space="0" w:color="auto"/>
              <w:right w:val="nil"/>
            </w:tcBorders>
            <w:shd w:val="clear" w:color="auto" w:fill="auto"/>
            <w:vAlign w:val="center"/>
            <w:hideMark/>
          </w:tcPr>
          <w:p w14:paraId="03691CD6"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Koordinovaná stanoviska, závazná stanoviska, stanoviska a vyjádření zpracovávaná více odděleními jsou řešena pouze v jednom případu.</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28400B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D1CC83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AF06E1B" w14:textId="77777777" w:rsidTr="008D4FC8">
        <w:trPr>
          <w:trHeight w:val="300"/>
        </w:trPr>
        <w:tc>
          <w:tcPr>
            <w:tcW w:w="1124" w:type="dxa"/>
            <w:vMerge/>
            <w:tcBorders>
              <w:top w:val="nil"/>
              <w:left w:val="single" w:sz="8" w:space="0" w:color="auto"/>
              <w:bottom w:val="nil"/>
              <w:right w:val="single" w:sz="8" w:space="0" w:color="auto"/>
            </w:tcBorders>
            <w:vAlign w:val="center"/>
            <w:hideMark/>
          </w:tcPr>
          <w:p w14:paraId="43146B8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016E54B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Šablony</w:t>
            </w:r>
          </w:p>
        </w:tc>
        <w:tc>
          <w:tcPr>
            <w:tcW w:w="5951" w:type="dxa"/>
            <w:tcBorders>
              <w:top w:val="nil"/>
              <w:left w:val="single" w:sz="8" w:space="0" w:color="auto"/>
              <w:bottom w:val="single" w:sz="4" w:space="0" w:color="auto"/>
              <w:right w:val="nil"/>
            </w:tcBorders>
            <w:shd w:val="clear" w:color="auto" w:fill="auto"/>
            <w:vAlign w:val="center"/>
            <w:hideMark/>
          </w:tcPr>
          <w:p w14:paraId="00B3CFB0"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 xml:space="preserve">Nástroj pro tvorbu vlastních šablon (dokumenty, sestavy, statistiky, upomínky).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D334E0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446607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B2349E2"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14BCC24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287528C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Evidence</w:t>
            </w:r>
          </w:p>
        </w:tc>
        <w:tc>
          <w:tcPr>
            <w:tcW w:w="5951" w:type="dxa"/>
            <w:tcBorders>
              <w:top w:val="nil"/>
              <w:left w:val="single" w:sz="8" w:space="0" w:color="auto"/>
              <w:bottom w:val="single" w:sz="4" w:space="0" w:color="auto"/>
              <w:right w:val="nil"/>
            </w:tcBorders>
            <w:shd w:val="clear" w:color="auto" w:fill="auto"/>
            <w:vAlign w:val="center"/>
            <w:hideMark/>
          </w:tcPr>
          <w:p w14:paraId="31AAC887"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 xml:space="preserve">Podrobná centrální procesní evidence jednotlivých správních řízení dle odpovídající právní kategorie.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FDBBDE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2C10CA0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DA09CDA" w14:textId="77777777" w:rsidTr="008D4FC8">
        <w:trPr>
          <w:trHeight w:val="900"/>
        </w:trPr>
        <w:tc>
          <w:tcPr>
            <w:tcW w:w="1124" w:type="dxa"/>
            <w:vMerge/>
            <w:tcBorders>
              <w:top w:val="nil"/>
              <w:left w:val="single" w:sz="8" w:space="0" w:color="auto"/>
              <w:bottom w:val="nil"/>
              <w:right w:val="single" w:sz="8" w:space="0" w:color="auto"/>
            </w:tcBorders>
            <w:vAlign w:val="center"/>
            <w:hideMark/>
          </w:tcPr>
          <w:p w14:paraId="33D626B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399701A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Procesní podpora</w:t>
            </w:r>
          </w:p>
        </w:tc>
        <w:tc>
          <w:tcPr>
            <w:tcW w:w="5951" w:type="dxa"/>
            <w:tcBorders>
              <w:top w:val="nil"/>
              <w:left w:val="single" w:sz="8" w:space="0" w:color="auto"/>
              <w:bottom w:val="single" w:sz="4" w:space="0" w:color="auto"/>
              <w:right w:val="nil"/>
            </w:tcBorders>
            <w:shd w:val="clear" w:color="auto" w:fill="auto"/>
            <w:vAlign w:val="center"/>
            <w:hideMark/>
          </w:tcPr>
          <w:p w14:paraId="71267991"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Plná podpora procesní evidence vyplývající primárně ze zvláštního zákona a subsidiárně ze zákona č. 500/2004 Sb., správní řád. Jednotlivé procesní kroky jsou podrobně zaznamenány a jejich sled odráží přesný procesní průběh celého správního řízení. Možnost přenosu blokace času relevantních kroků do MS Outlook.</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C12A81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22C729F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ED42AE6"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25AE27A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nil"/>
              <w:right w:val="single" w:sz="4" w:space="0" w:color="auto"/>
            </w:tcBorders>
            <w:shd w:val="clear" w:color="auto" w:fill="auto"/>
            <w:vAlign w:val="center"/>
            <w:hideMark/>
          </w:tcPr>
          <w:p w14:paraId="2534A81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Evidence stavu řízení</w:t>
            </w:r>
          </w:p>
        </w:tc>
        <w:tc>
          <w:tcPr>
            <w:tcW w:w="5951" w:type="dxa"/>
            <w:tcBorders>
              <w:top w:val="nil"/>
              <w:left w:val="single" w:sz="8" w:space="0" w:color="auto"/>
              <w:bottom w:val="single" w:sz="4" w:space="0" w:color="auto"/>
              <w:right w:val="nil"/>
            </w:tcBorders>
            <w:shd w:val="clear" w:color="auto" w:fill="auto"/>
            <w:vAlign w:val="center"/>
            <w:hideMark/>
          </w:tcPr>
          <w:p w14:paraId="7021FD9B"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Evidence aktuálního stavu řízení (odloženo, postoupeno, přerušeno, zastaveno, rozhodnuto, apod.) automaticky načítaná dle fáze procesu řízení.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30B0F6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A5BCCF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3FD9449" w14:textId="77777777" w:rsidTr="008D4FC8">
        <w:trPr>
          <w:trHeight w:val="675"/>
        </w:trPr>
        <w:tc>
          <w:tcPr>
            <w:tcW w:w="1124" w:type="dxa"/>
            <w:vMerge/>
            <w:tcBorders>
              <w:top w:val="nil"/>
              <w:left w:val="single" w:sz="8" w:space="0" w:color="auto"/>
              <w:bottom w:val="nil"/>
              <w:right w:val="single" w:sz="8" w:space="0" w:color="auto"/>
            </w:tcBorders>
            <w:vAlign w:val="center"/>
            <w:hideMark/>
          </w:tcPr>
          <w:p w14:paraId="5C7EB8B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0480DB0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Přenos údajů</w:t>
            </w:r>
          </w:p>
        </w:tc>
        <w:tc>
          <w:tcPr>
            <w:tcW w:w="5951" w:type="dxa"/>
            <w:tcBorders>
              <w:top w:val="nil"/>
              <w:left w:val="single" w:sz="8" w:space="0" w:color="auto"/>
              <w:bottom w:val="single" w:sz="4" w:space="0" w:color="auto"/>
              <w:right w:val="nil"/>
            </w:tcBorders>
            <w:shd w:val="clear" w:color="auto" w:fill="auto"/>
            <w:vAlign w:val="center"/>
            <w:hideMark/>
          </w:tcPr>
          <w:p w14:paraId="5E5FB598"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U písemných úkonů možnost vytvořit a připojit příslušný dokument z předdefinovaných šablon, do kterých se dotahují údaje evidované v řízení, příp. ze souvisejících řízení.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18C6737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10478D1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1F258F4"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522E8CE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5EE1938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Tisk dokumentů</w:t>
            </w:r>
          </w:p>
        </w:tc>
        <w:tc>
          <w:tcPr>
            <w:tcW w:w="5951" w:type="dxa"/>
            <w:tcBorders>
              <w:top w:val="nil"/>
              <w:left w:val="single" w:sz="8" w:space="0" w:color="auto"/>
              <w:bottom w:val="single" w:sz="4" w:space="0" w:color="auto"/>
              <w:right w:val="nil"/>
            </w:tcBorders>
            <w:shd w:val="clear" w:color="auto" w:fill="auto"/>
            <w:vAlign w:val="center"/>
            <w:hideMark/>
          </w:tcPr>
          <w:p w14:paraId="0EE6633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Tisk dokumentů s uživatelským nástrojem pro tvorbu vlastních šablon.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3777EF8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F2D8FC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B66B19F" w14:textId="77777777" w:rsidTr="008D4FC8">
        <w:trPr>
          <w:trHeight w:val="675"/>
        </w:trPr>
        <w:tc>
          <w:tcPr>
            <w:tcW w:w="1124" w:type="dxa"/>
            <w:vMerge/>
            <w:tcBorders>
              <w:top w:val="nil"/>
              <w:left w:val="single" w:sz="8" w:space="0" w:color="auto"/>
              <w:bottom w:val="nil"/>
              <w:right w:val="single" w:sz="8" w:space="0" w:color="auto"/>
            </w:tcBorders>
            <w:vAlign w:val="center"/>
            <w:hideMark/>
          </w:tcPr>
          <w:p w14:paraId="294B6C4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4D86696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Zásobník textů</w:t>
            </w:r>
          </w:p>
        </w:tc>
        <w:tc>
          <w:tcPr>
            <w:tcW w:w="5951" w:type="dxa"/>
            <w:tcBorders>
              <w:top w:val="nil"/>
              <w:left w:val="single" w:sz="8" w:space="0" w:color="auto"/>
              <w:bottom w:val="single" w:sz="4" w:space="0" w:color="auto"/>
              <w:right w:val="nil"/>
            </w:tcBorders>
            <w:shd w:val="clear" w:color="auto" w:fill="auto"/>
            <w:vAlign w:val="center"/>
            <w:hideMark/>
          </w:tcPr>
          <w:p w14:paraId="3886DE2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U textových evidenčních polí bude k dispozici zásobník textů – pro připravené fragmenty textů (často se opakující texty), které uživatel ukládá, vybírá a vkládá do jednotlivých polí s následným tiskem do dokumentů.</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9044A9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24AD677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A6EDCB0"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1DB8EA7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5A08B36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Podklady k řízení</w:t>
            </w:r>
          </w:p>
        </w:tc>
        <w:tc>
          <w:tcPr>
            <w:tcW w:w="5951" w:type="dxa"/>
            <w:tcBorders>
              <w:top w:val="nil"/>
              <w:left w:val="single" w:sz="8" w:space="0" w:color="auto"/>
              <w:bottom w:val="single" w:sz="4" w:space="0" w:color="auto"/>
              <w:right w:val="nil"/>
            </w:tcBorders>
            <w:shd w:val="clear" w:color="auto" w:fill="auto"/>
            <w:vAlign w:val="center"/>
            <w:hideMark/>
          </w:tcPr>
          <w:p w14:paraId="1AD8134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Evidence (ne)doložených podkladů a příloh k danému řízení.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E69150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5057FC1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325E567" w14:textId="77777777" w:rsidTr="008D4FC8">
        <w:trPr>
          <w:trHeight w:val="300"/>
        </w:trPr>
        <w:tc>
          <w:tcPr>
            <w:tcW w:w="1124" w:type="dxa"/>
            <w:vMerge/>
            <w:tcBorders>
              <w:top w:val="nil"/>
              <w:left w:val="single" w:sz="8" w:space="0" w:color="auto"/>
              <w:bottom w:val="nil"/>
              <w:right w:val="single" w:sz="8" w:space="0" w:color="auto"/>
            </w:tcBorders>
            <w:vAlign w:val="center"/>
            <w:hideMark/>
          </w:tcPr>
          <w:p w14:paraId="6A15401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4C48079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Statistiky</w:t>
            </w:r>
          </w:p>
        </w:tc>
        <w:tc>
          <w:tcPr>
            <w:tcW w:w="5951" w:type="dxa"/>
            <w:tcBorders>
              <w:top w:val="nil"/>
              <w:left w:val="single" w:sz="8" w:space="0" w:color="auto"/>
              <w:bottom w:val="single" w:sz="4" w:space="0" w:color="auto"/>
              <w:right w:val="nil"/>
            </w:tcBorders>
            <w:shd w:val="clear" w:color="auto" w:fill="auto"/>
            <w:vAlign w:val="center"/>
            <w:hideMark/>
          </w:tcPr>
          <w:p w14:paraId="025750B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Automatická tvorba povinných celostátních statistik.</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AC167A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18B281A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E4BB5C7" w14:textId="77777777" w:rsidTr="008D4FC8">
        <w:trPr>
          <w:trHeight w:val="1125"/>
        </w:trPr>
        <w:tc>
          <w:tcPr>
            <w:tcW w:w="1124" w:type="dxa"/>
            <w:vMerge/>
            <w:tcBorders>
              <w:top w:val="nil"/>
              <w:left w:val="single" w:sz="8" w:space="0" w:color="auto"/>
              <w:bottom w:val="nil"/>
              <w:right w:val="single" w:sz="8" w:space="0" w:color="auto"/>
            </w:tcBorders>
            <w:vAlign w:val="center"/>
            <w:hideMark/>
          </w:tcPr>
          <w:p w14:paraId="2FDE573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7FC3C42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Ochrana osobních údajů</w:t>
            </w:r>
          </w:p>
        </w:tc>
        <w:tc>
          <w:tcPr>
            <w:tcW w:w="5951" w:type="dxa"/>
            <w:tcBorders>
              <w:top w:val="nil"/>
              <w:left w:val="single" w:sz="8" w:space="0" w:color="auto"/>
              <w:bottom w:val="single" w:sz="4" w:space="0" w:color="auto"/>
              <w:right w:val="nil"/>
            </w:tcBorders>
            <w:shd w:val="clear" w:color="auto" w:fill="auto"/>
            <w:vAlign w:val="center"/>
            <w:hideMark/>
          </w:tcPr>
          <w:p w14:paraId="1449AFD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Respektování ustanovení zákona č. 101/2000 Sb., o ochraně osobních údajů, včetně možnosti likvidace osobních údajů po uplynutí zákonné lhůty. Evidované správní řízení zůstává po likvidaci osobních údajů zachováno s příznakem likvidačního stavu bez veškerých osobních údajů pro sledování dlouhodobých trendů a nadále se nevyskytuje v seznamech aktivně vedených či uzavřených správních řízení.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9EC901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35FD3C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115E499" w14:textId="77777777" w:rsidTr="008D4FC8">
        <w:trPr>
          <w:trHeight w:val="675"/>
        </w:trPr>
        <w:tc>
          <w:tcPr>
            <w:tcW w:w="1124" w:type="dxa"/>
            <w:vMerge/>
            <w:tcBorders>
              <w:top w:val="nil"/>
              <w:left w:val="single" w:sz="8" w:space="0" w:color="auto"/>
              <w:bottom w:val="nil"/>
              <w:right w:val="single" w:sz="8" w:space="0" w:color="auto"/>
            </w:tcBorders>
            <w:vAlign w:val="center"/>
            <w:hideMark/>
          </w:tcPr>
          <w:p w14:paraId="3989A09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6FE34A5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Historie řízení</w:t>
            </w:r>
          </w:p>
        </w:tc>
        <w:tc>
          <w:tcPr>
            <w:tcW w:w="5951" w:type="dxa"/>
            <w:tcBorders>
              <w:top w:val="nil"/>
              <w:left w:val="single" w:sz="8" w:space="0" w:color="auto"/>
              <w:bottom w:val="nil"/>
              <w:right w:val="nil"/>
            </w:tcBorders>
            <w:shd w:val="clear" w:color="auto" w:fill="auto"/>
            <w:vAlign w:val="center"/>
            <w:hideMark/>
          </w:tcPr>
          <w:p w14:paraId="7DA7413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Zpětný náhled na správní řízení v čase. Zobrazení historie řízení, záznam všech změn, které se v procesu řízení udály - datum, čas a informace o tom, který uživatel změny provedl.</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147CFC8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19EF6C2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9528CA6"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0FEF8AC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73AC2C9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Tisk obálek a poukázek</w:t>
            </w:r>
          </w:p>
        </w:tc>
        <w:tc>
          <w:tcPr>
            <w:tcW w:w="5951" w:type="dxa"/>
            <w:tcBorders>
              <w:top w:val="single" w:sz="4" w:space="0" w:color="auto"/>
              <w:left w:val="single" w:sz="8" w:space="0" w:color="auto"/>
              <w:bottom w:val="single" w:sz="4" w:space="0" w:color="auto"/>
              <w:right w:val="nil"/>
            </w:tcBorders>
            <w:shd w:val="clear" w:color="auto" w:fill="auto"/>
            <w:vAlign w:val="center"/>
            <w:hideMark/>
          </w:tcPr>
          <w:p w14:paraId="2F387CF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Tisk obálek a poštovních poukázek.</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51E17C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E82C1D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88BBF87" w14:textId="77777777" w:rsidTr="008D4FC8">
        <w:trPr>
          <w:trHeight w:val="900"/>
        </w:trPr>
        <w:tc>
          <w:tcPr>
            <w:tcW w:w="1124" w:type="dxa"/>
            <w:vMerge/>
            <w:tcBorders>
              <w:top w:val="nil"/>
              <w:left w:val="single" w:sz="8" w:space="0" w:color="auto"/>
              <w:bottom w:val="nil"/>
              <w:right w:val="single" w:sz="8" w:space="0" w:color="auto"/>
            </w:tcBorders>
            <w:vAlign w:val="center"/>
            <w:hideMark/>
          </w:tcPr>
          <w:p w14:paraId="7EEAA3B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0A9723B5"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Evidence dotčených orgánů</w:t>
            </w:r>
          </w:p>
        </w:tc>
        <w:tc>
          <w:tcPr>
            <w:tcW w:w="5951" w:type="dxa"/>
            <w:tcBorders>
              <w:top w:val="nil"/>
              <w:left w:val="single" w:sz="8" w:space="0" w:color="auto"/>
              <w:bottom w:val="single" w:sz="4" w:space="0" w:color="auto"/>
              <w:right w:val="nil"/>
            </w:tcBorders>
            <w:shd w:val="clear" w:color="auto" w:fill="auto"/>
            <w:vAlign w:val="center"/>
            <w:hideMark/>
          </w:tcPr>
          <w:p w14:paraId="63419F35"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Pokud některé ze správních řízení předpokládá stejný či podobný okruh dotčených orgánů, umožní řešení jejich předvyplnění v systému a opakované automatické dotažení do daného typu správního řízení včetně jejich ověření proti základním registrům.</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785A6E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D60759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91BBCCA" w14:textId="77777777" w:rsidTr="008D4FC8">
        <w:trPr>
          <w:trHeight w:val="450"/>
        </w:trPr>
        <w:tc>
          <w:tcPr>
            <w:tcW w:w="1124" w:type="dxa"/>
            <w:vMerge/>
            <w:tcBorders>
              <w:top w:val="nil"/>
              <w:left w:val="single" w:sz="8" w:space="0" w:color="auto"/>
              <w:bottom w:val="nil"/>
              <w:right w:val="single" w:sz="8" w:space="0" w:color="auto"/>
            </w:tcBorders>
            <w:vAlign w:val="center"/>
            <w:hideMark/>
          </w:tcPr>
          <w:p w14:paraId="343F753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017F6F6F"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Provázanost řízení</w:t>
            </w:r>
          </w:p>
        </w:tc>
        <w:tc>
          <w:tcPr>
            <w:tcW w:w="5951" w:type="dxa"/>
            <w:tcBorders>
              <w:top w:val="nil"/>
              <w:left w:val="single" w:sz="8" w:space="0" w:color="auto"/>
              <w:bottom w:val="single" w:sz="4" w:space="0" w:color="auto"/>
              <w:right w:val="nil"/>
            </w:tcBorders>
            <w:shd w:val="clear" w:color="auto" w:fill="auto"/>
            <w:vAlign w:val="center"/>
            <w:hideMark/>
          </w:tcPr>
          <w:p w14:paraId="10E2A342"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Řešení zajistí možnost společně provázat řízení, která spolu procesně souvisí.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19DDBB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002DE6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394A793" w14:textId="77777777" w:rsidTr="008D4FC8">
        <w:trPr>
          <w:trHeight w:val="1125"/>
        </w:trPr>
        <w:tc>
          <w:tcPr>
            <w:tcW w:w="1124" w:type="dxa"/>
            <w:vMerge/>
            <w:tcBorders>
              <w:top w:val="nil"/>
              <w:left w:val="single" w:sz="8" w:space="0" w:color="auto"/>
              <w:bottom w:val="nil"/>
              <w:right w:val="single" w:sz="8" w:space="0" w:color="auto"/>
            </w:tcBorders>
            <w:vAlign w:val="center"/>
            <w:hideMark/>
          </w:tcPr>
          <w:p w14:paraId="082645E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3F54C99E"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Úkoly v rámci řízení</w:t>
            </w:r>
          </w:p>
        </w:tc>
        <w:tc>
          <w:tcPr>
            <w:tcW w:w="5951" w:type="dxa"/>
            <w:tcBorders>
              <w:top w:val="nil"/>
              <w:left w:val="single" w:sz="8" w:space="0" w:color="auto"/>
              <w:bottom w:val="single" w:sz="4" w:space="0" w:color="auto"/>
              <w:right w:val="nil"/>
            </w:tcBorders>
            <w:shd w:val="clear" w:color="auto" w:fill="auto"/>
            <w:vAlign w:val="center"/>
            <w:hideMark/>
          </w:tcPr>
          <w:p w14:paraId="32C78834"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Řešení umožní evidovat libovolný úkol související s vedením řízení samotnému uživateli, který řízení vede, ale případně i dalším oprávněným úředním osobám, které na vedení řízení participují, k jednotlivým úkolům je umožněno zadávat termíny pro jejich splnění i připomenutí uplynutí takovéhoto termínu v dodaném řešení, ale i e-mailem nositeli úkolu.</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BC0F4D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247D3CD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2130C0B" w14:textId="77777777" w:rsidTr="008D4FC8">
        <w:trPr>
          <w:trHeight w:val="675"/>
        </w:trPr>
        <w:tc>
          <w:tcPr>
            <w:tcW w:w="1124" w:type="dxa"/>
            <w:vMerge/>
            <w:tcBorders>
              <w:top w:val="nil"/>
              <w:left w:val="single" w:sz="8" w:space="0" w:color="auto"/>
              <w:bottom w:val="nil"/>
              <w:right w:val="single" w:sz="8" w:space="0" w:color="auto"/>
            </w:tcBorders>
            <w:vAlign w:val="center"/>
            <w:hideMark/>
          </w:tcPr>
          <w:p w14:paraId="28EDA29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F8291BB"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Datová schránka subjektu</w:t>
            </w:r>
          </w:p>
        </w:tc>
        <w:tc>
          <w:tcPr>
            <w:tcW w:w="5951" w:type="dxa"/>
            <w:tcBorders>
              <w:top w:val="nil"/>
              <w:left w:val="single" w:sz="8" w:space="0" w:color="auto"/>
              <w:bottom w:val="single" w:sz="4" w:space="0" w:color="auto"/>
              <w:right w:val="nil"/>
            </w:tcBorders>
            <w:shd w:val="clear" w:color="auto" w:fill="auto"/>
            <w:vAlign w:val="center"/>
            <w:hideMark/>
          </w:tcPr>
          <w:p w14:paraId="0F1D92D8"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Hlídání existence aktivní datové schránky, příp. doručovací adresy nahlášené na ohlašovně úřadu při odesílání dokumentů do spisové služby úřadu.</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C972F1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EF7C37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4252461" w14:textId="77777777" w:rsidTr="008D4FC8">
        <w:trPr>
          <w:trHeight w:val="675"/>
        </w:trPr>
        <w:tc>
          <w:tcPr>
            <w:tcW w:w="1124" w:type="dxa"/>
            <w:vMerge/>
            <w:tcBorders>
              <w:top w:val="nil"/>
              <w:left w:val="single" w:sz="8" w:space="0" w:color="auto"/>
              <w:bottom w:val="nil"/>
              <w:right w:val="single" w:sz="8" w:space="0" w:color="auto"/>
            </w:tcBorders>
            <w:vAlign w:val="center"/>
            <w:hideMark/>
          </w:tcPr>
          <w:p w14:paraId="7FC1CAF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nil"/>
              <w:right w:val="single" w:sz="4" w:space="0" w:color="auto"/>
            </w:tcBorders>
            <w:shd w:val="clear" w:color="auto" w:fill="auto"/>
            <w:vAlign w:val="center"/>
            <w:hideMark/>
          </w:tcPr>
          <w:p w14:paraId="4894AF83"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Evidence oprávněných úředních osob</w:t>
            </w:r>
          </w:p>
        </w:tc>
        <w:tc>
          <w:tcPr>
            <w:tcW w:w="5951" w:type="dxa"/>
            <w:tcBorders>
              <w:top w:val="nil"/>
              <w:left w:val="single" w:sz="8" w:space="0" w:color="auto"/>
              <w:bottom w:val="single" w:sz="4" w:space="0" w:color="auto"/>
              <w:right w:val="nil"/>
            </w:tcBorders>
            <w:shd w:val="clear" w:color="auto" w:fill="auto"/>
            <w:vAlign w:val="center"/>
            <w:hideMark/>
          </w:tcPr>
          <w:p w14:paraId="0B1E1494"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 xml:space="preserve">Řešení zajistí nastavitelnou evidenci oprávněných úředních osob u každého řízení s vazbou na </w:t>
            </w:r>
            <w:proofErr w:type="spellStart"/>
            <w:r w:rsidRPr="008D4FC8">
              <w:rPr>
                <w:rFonts w:ascii="Calibri" w:eastAsia="Times New Roman" w:hAnsi="Calibri"/>
                <w:sz w:val="16"/>
                <w:szCs w:val="16"/>
                <w:lang w:eastAsia="cs-CZ"/>
              </w:rPr>
              <w:t>identitní</w:t>
            </w:r>
            <w:proofErr w:type="spellEnd"/>
            <w:r w:rsidRPr="008D4FC8">
              <w:rPr>
                <w:rFonts w:ascii="Calibri" w:eastAsia="Times New Roman" w:hAnsi="Calibri"/>
                <w:sz w:val="16"/>
                <w:szCs w:val="16"/>
                <w:lang w:eastAsia="cs-CZ"/>
              </w:rPr>
              <w:t xml:space="preserve"> systém s možností tiskového výstupu pro založení do spisu.</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1C08190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7DB5024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0CAB541" w14:textId="77777777" w:rsidTr="008D4FC8">
        <w:trPr>
          <w:trHeight w:val="690"/>
        </w:trPr>
        <w:tc>
          <w:tcPr>
            <w:tcW w:w="1124" w:type="dxa"/>
            <w:vMerge/>
            <w:tcBorders>
              <w:top w:val="nil"/>
              <w:left w:val="single" w:sz="8" w:space="0" w:color="auto"/>
              <w:bottom w:val="nil"/>
              <w:right w:val="single" w:sz="8" w:space="0" w:color="auto"/>
            </w:tcBorders>
            <w:vAlign w:val="center"/>
            <w:hideMark/>
          </w:tcPr>
          <w:p w14:paraId="3FF154E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285346E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Odeslání dokumentů</w:t>
            </w:r>
          </w:p>
        </w:tc>
        <w:tc>
          <w:tcPr>
            <w:tcW w:w="5951" w:type="dxa"/>
            <w:tcBorders>
              <w:top w:val="nil"/>
              <w:left w:val="single" w:sz="8" w:space="0" w:color="auto"/>
              <w:bottom w:val="single" w:sz="8" w:space="0" w:color="auto"/>
              <w:right w:val="nil"/>
            </w:tcBorders>
            <w:shd w:val="clear" w:color="auto" w:fill="auto"/>
            <w:vAlign w:val="center"/>
            <w:hideMark/>
          </w:tcPr>
          <w:p w14:paraId="1DD4317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Výsledné dokumenty (vč. adresátů a způsobů vypravení) jsou prostřednictvím rozhraní odesílány do spisové služby úřadu - tj. bez přepínání se do aplikace spisové služby úřadu.</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079528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795FF1C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51F46FF" w14:textId="77777777" w:rsidTr="008D4FC8">
        <w:trPr>
          <w:trHeight w:val="315"/>
        </w:trPr>
        <w:tc>
          <w:tcPr>
            <w:tcW w:w="1124" w:type="dxa"/>
            <w:vMerge/>
            <w:tcBorders>
              <w:top w:val="nil"/>
              <w:left w:val="single" w:sz="8" w:space="0" w:color="auto"/>
              <w:bottom w:val="nil"/>
              <w:right w:val="single" w:sz="8" w:space="0" w:color="auto"/>
            </w:tcBorders>
            <w:vAlign w:val="center"/>
            <w:hideMark/>
          </w:tcPr>
          <w:p w14:paraId="2B9882B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nil"/>
              <w:right w:val="single" w:sz="4" w:space="0" w:color="auto"/>
            </w:tcBorders>
            <w:shd w:val="clear" w:color="auto" w:fill="auto"/>
            <w:vAlign w:val="center"/>
            <w:hideMark/>
          </w:tcPr>
          <w:p w14:paraId="14DB62F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Záruka</w:t>
            </w:r>
          </w:p>
        </w:tc>
        <w:tc>
          <w:tcPr>
            <w:tcW w:w="5951" w:type="dxa"/>
            <w:tcBorders>
              <w:top w:val="nil"/>
              <w:left w:val="single" w:sz="8" w:space="0" w:color="auto"/>
              <w:bottom w:val="single" w:sz="8" w:space="0" w:color="auto"/>
              <w:right w:val="nil"/>
            </w:tcBorders>
            <w:shd w:val="clear" w:color="auto" w:fill="auto"/>
            <w:vAlign w:val="center"/>
            <w:hideMark/>
          </w:tcPr>
          <w:p w14:paraId="3F6FCE2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12 měsíců</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3F44B21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971FDB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D887837" w14:textId="77777777" w:rsidTr="00B25045">
        <w:trPr>
          <w:trHeight w:val="4205"/>
        </w:trPr>
        <w:tc>
          <w:tcPr>
            <w:tcW w:w="1124" w:type="dxa"/>
            <w:vMerge w:val="restart"/>
            <w:tcBorders>
              <w:top w:val="single" w:sz="8" w:space="0" w:color="auto"/>
              <w:left w:val="single" w:sz="8" w:space="0" w:color="auto"/>
              <w:bottom w:val="nil"/>
              <w:right w:val="single" w:sz="8" w:space="0" w:color="auto"/>
            </w:tcBorders>
            <w:shd w:val="clear" w:color="auto" w:fill="auto"/>
            <w:vAlign w:val="center"/>
            <w:hideMark/>
          </w:tcPr>
          <w:p w14:paraId="0BF38599" w14:textId="77777777" w:rsidR="008D4FC8" w:rsidRPr="008D4FC8" w:rsidRDefault="008D4FC8" w:rsidP="008D4FC8">
            <w:pPr>
              <w:spacing w:after="0"/>
              <w:jc w:val="center"/>
              <w:rPr>
                <w:rFonts w:ascii="Calibri" w:eastAsia="Times New Roman" w:hAnsi="Calibri"/>
                <w:b/>
                <w:bCs/>
                <w:sz w:val="16"/>
                <w:szCs w:val="16"/>
                <w:lang w:eastAsia="cs-CZ"/>
              </w:rPr>
            </w:pPr>
            <w:r w:rsidRPr="008D4FC8">
              <w:rPr>
                <w:rFonts w:ascii="Calibri" w:eastAsia="Times New Roman" w:hAnsi="Calibri"/>
                <w:b/>
                <w:bCs/>
                <w:sz w:val="16"/>
                <w:szCs w:val="16"/>
                <w:lang w:eastAsia="cs-CZ"/>
              </w:rPr>
              <w:lastRenderedPageBreak/>
              <w:t>Oblast životního prostředí</w:t>
            </w:r>
          </w:p>
        </w:tc>
        <w:tc>
          <w:tcPr>
            <w:tcW w:w="1276" w:type="dxa"/>
            <w:tcBorders>
              <w:top w:val="single" w:sz="8" w:space="0" w:color="auto"/>
              <w:left w:val="nil"/>
              <w:bottom w:val="single" w:sz="4" w:space="0" w:color="auto"/>
              <w:right w:val="nil"/>
            </w:tcBorders>
            <w:shd w:val="clear" w:color="auto" w:fill="auto"/>
            <w:vAlign w:val="center"/>
            <w:hideMark/>
          </w:tcPr>
          <w:p w14:paraId="1858F3B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Legislativní rámec</w:t>
            </w:r>
          </w:p>
        </w:tc>
        <w:tc>
          <w:tcPr>
            <w:tcW w:w="5951" w:type="dxa"/>
            <w:tcBorders>
              <w:top w:val="nil"/>
              <w:left w:val="single" w:sz="8" w:space="0" w:color="auto"/>
              <w:bottom w:val="nil"/>
              <w:right w:val="nil"/>
            </w:tcBorders>
            <w:shd w:val="clear" w:color="auto" w:fill="auto"/>
            <w:vAlign w:val="center"/>
            <w:hideMark/>
          </w:tcPr>
          <w:p w14:paraId="278A384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Centrální procesní evidence  správních řízení spadajících do kompetence obcí, vedených dle níže uvedených zákonů, s přímou podporou zákona č. 500/2004 Sb., správní řád, ve znění pozdějších předpisů.                                                                                                        </w:t>
            </w:r>
            <w:r w:rsidRPr="008D4FC8">
              <w:rPr>
                <w:rFonts w:ascii="Calibri" w:eastAsia="Times New Roman" w:hAnsi="Calibri"/>
                <w:color w:val="000000"/>
                <w:sz w:val="16"/>
                <w:szCs w:val="16"/>
                <w:lang w:eastAsia="cs-CZ"/>
              </w:rPr>
              <w:br/>
              <w:t>č. 76/2002 Sb., o integrované prevenci</w:t>
            </w:r>
            <w:r w:rsidRPr="008D4FC8">
              <w:rPr>
                <w:rFonts w:ascii="Calibri" w:eastAsia="Times New Roman" w:hAnsi="Calibri"/>
                <w:color w:val="000000"/>
                <w:sz w:val="16"/>
                <w:szCs w:val="16"/>
                <w:lang w:eastAsia="cs-CZ"/>
              </w:rPr>
              <w:br/>
              <w:t xml:space="preserve">č. 99/2004 Sb., o rybníkářství, výkonu rybářského práva, rybářské stráži </w:t>
            </w:r>
            <w:r w:rsidRPr="008D4FC8">
              <w:rPr>
                <w:rFonts w:ascii="Calibri" w:eastAsia="Times New Roman" w:hAnsi="Calibri"/>
                <w:color w:val="000000"/>
                <w:sz w:val="16"/>
                <w:szCs w:val="16"/>
                <w:lang w:eastAsia="cs-CZ"/>
              </w:rPr>
              <w:br/>
              <w:t xml:space="preserve">č. 100/2001 Sb., o posuzování vlivů na životní prostředí </w:t>
            </w:r>
            <w:r w:rsidRPr="008D4FC8">
              <w:rPr>
                <w:rFonts w:ascii="Calibri" w:eastAsia="Times New Roman" w:hAnsi="Calibri"/>
                <w:color w:val="000000"/>
                <w:sz w:val="16"/>
                <w:szCs w:val="16"/>
                <w:lang w:eastAsia="cs-CZ"/>
              </w:rPr>
              <w:br/>
              <w:t xml:space="preserve">č. 114/1992 Sb., o ochraně přírody a krajiny </w:t>
            </w:r>
            <w:r w:rsidRPr="008D4FC8">
              <w:rPr>
                <w:rFonts w:ascii="Calibri" w:eastAsia="Times New Roman" w:hAnsi="Calibri"/>
                <w:color w:val="000000"/>
                <w:sz w:val="16"/>
                <w:szCs w:val="16"/>
                <w:lang w:eastAsia="cs-CZ"/>
              </w:rPr>
              <w:br/>
              <w:t>č. 123/1998 Sb., o právu na informace o životním prostředí</w:t>
            </w:r>
            <w:r w:rsidRPr="008D4FC8">
              <w:rPr>
                <w:rFonts w:ascii="Calibri" w:eastAsia="Times New Roman" w:hAnsi="Calibri"/>
                <w:color w:val="000000"/>
                <w:sz w:val="16"/>
                <w:szCs w:val="16"/>
                <w:lang w:eastAsia="cs-CZ"/>
              </w:rPr>
              <w:br/>
              <w:t>č. 166/1999 Sb., o veterinární péči</w:t>
            </w:r>
            <w:r w:rsidRPr="008D4FC8">
              <w:rPr>
                <w:rFonts w:ascii="Calibri" w:eastAsia="Times New Roman" w:hAnsi="Calibri"/>
                <w:color w:val="000000"/>
                <w:sz w:val="16"/>
                <w:szCs w:val="16"/>
                <w:lang w:eastAsia="cs-CZ"/>
              </w:rPr>
              <w:br/>
              <w:t>č. 185/2001 Sb., o odpadech</w:t>
            </w:r>
            <w:r w:rsidRPr="008D4FC8">
              <w:rPr>
                <w:rFonts w:ascii="Calibri" w:eastAsia="Times New Roman" w:hAnsi="Calibri"/>
                <w:color w:val="000000"/>
                <w:sz w:val="16"/>
                <w:szCs w:val="16"/>
                <w:lang w:eastAsia="cs-CZ"/>
              </w:rPr>
              <w:br/>
              <w:t>č. 201/2012 Sb., o ochraně ovzduší</w:t>
            </w:r>
            <w:r w:rsidRPr="008D4FC8">
              <w:rPr>
                <w:rFonts w:ascii="Calibri" w:eastAsia="Times New Roman" w:hAnsi="Calibri"/>
                <w:color w:val="000000"/>
                <w:sz w:val="16"/>
                <w:szCs w:val="16"/>
                <w:lang w:eastAsia="cs-CZ"/>
              </w:rPr>
              <w:br/>
              <w:t>č. 246/1992 Sb., na ochranu zvířat proti týrání</w:t>
            </w:r>
            <w:r w:rsidRPr="008D4FC8">
              <w:rPr>
                <w:rFonts w:ascii="Calibri" w:eastAsia="Times New Roman" w:hAnsi="Calibri"/>
                <w:color w:val="000000"/>
                <w:sz w:val="16"/>
                <w:szCs w:val="16"/>
                <w:lang w:eastAsia="cs-CZ"/>
              </w:rPr>
              <w:br/>
              <w:t xml:space="preserve">č. 254/2001 Sb., o vodách (vodní zákon) </w:t>
            </w:r>
            <w:r w:rsidRPr="008D4FC8">
              <w:rPr>
                <w:rFonts w:ascii="Calibri" w:eastAsia="Times New Roman" w:hAnsi="Calibri"/>
                <w:color w:val="000000"/>
                <w:sz w:val="16"/>
                <w:szCs w:val="16"/>
                <w:lang w:eastAsia="cs-CZ"/>
              </w:rPr>
              <w:br/>
              <w:t xml:space="preserve">č. 274/2001 Sb., o vodovodech a kanalizacích </w:t>
            </w:r>
            <w:r w:rsidRPr="008D4FC8">
              <w:rPr>
                <w:rFonts w:ascii="Calibri" w:eastAsia="Times New Roman" w:hAnsi="Calibri"/>
                <w:color w:val="000000"/>
                <w:sz w:val="16"/>
                <w:szCs w:val="16"/>
                <w:lang w:eastAsia="cs-CZ"/>
              </w:rPr>
              <w:br/>
              <w:t xml:space="preserve">č. 289/1995 Sb., o lesích a č. 449/2001 Sb., o myslivosti </w:t>
            </w:r>
            <w:r w:rsidRPr="008D4FC8">
              <w:rPr>
                <w:rFonts w:ascii="Calibri" w:eastAsia="Times New Roman" w:hAnsi="Calibri"/>
                <w:color w:val="000000"/>
                <w:sz w:val="16"/>
                <w:szCs w:val="16"/>
                <w:lang w:eastAsia="cs-CZ"/>
              </w:rPr>
              <w:br/>
              <w:t>č. 334/1992 Sb., o ochraně zemědělského půdního fondu.</w:t>
            </w:r>
            <w:r w:rsidRPr="008D4FC8">
              <w:rPr>
                <w:rFonts w:ascii="Calibri" w:eastAsia="Times New Roman" w:hAnsi="Calibri"/>
                <w:color w:val="000000"/>
                <w:sz w:val="16"/>
                <w:szCs w:val="16"/>
                <w:lang w:eastAsia="cs-CZ"/>
              </w:rPr>
              <w:br/>
              <w:t>č. 115/2000 Sb., o poskytování náhrad škod způsobených vybranými zvláště chráněnými živočichy</w:t>
            </w:r>
            <w:r w:rsidRPr="008D4FC8">
              <w:rPr>
                <w:rFonts w:ascii="Calibri" w:eastAsia="Times New Roman" w:hAnsi="Calibri"/>
                <w:color w:val="000000"/>
                <w:sz w:val="16"/>
                <w:szCs w:val="16"/>
                <w:lang w:eastAsia="cs-CZ"/>
              </w:rPr>
              <w:br/>
              <w:t xml:space="preserve">č. 326/2004 Sb., o rostlinolékařské péči </w:t>
            </w:r>
            <w:r w:rsidRPr="008D4FC8">
              <w:rPr>
                <w:rFonts w:ascii="Calibri" w:eastAsia="Times New Roman" w:hAnsi="Calibri"/>
                <w:color w:val="000000"/>
                <w:sz w:val="16"/>
                <w:szCs w:val="16"/>
                <w:lang w:eastAsia="cs-CZ"/>
              </w:rPr>
              <w:br/>
              <w:t>č. 449/2001 Sb., o myslivosti</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C9DC73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BF1925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D5DF670" w14:textId="77777777" w:rsidTr="008D4FC8">
        <w:trPr>
          <w:trHeight w:val="900"/>
        </w:trPr>
        <w:tc>
          <w:tcPr>
            <w:tcW w:w="1124" w:type="dxa"/>
            <w:vMerge/>
            <w:tcBorders>
              <w:top w:val="single" w:sz="8" w:space="0" w:color="auto"/>
              <w:left w:val="single" w:sz="8" w:space="0" w:color="auto"/>
              <w:bottom w:val="nil"/>
              <w:right w:val="single" w:sz="8" w:space="0" w:color="auto"/>
            </w:tcBorders>
            <w:vAlign w:val="center"/>
            <w:hideMark/>
          </w:tcPr>
          <w:p w14:paraId="47789093" w14:textId="77777777" w:rsidR="008D4FC8" w:rsidRPr="008D4FC8" w:rsidRDefault="008D4FC8" w:rsidP="008D4FC8">
            <w:pPr>
              <w:spacing w:after="0"/>
              <w:jc w:val="left"/>
              <w:rPr>
                <w:rFonts w:ascii="Calibri" w:eastAsia="Times New Roman" w:hAnsi="Calibri"/>
                <w:b/>
                <w:bCs/>
                <w:sz w:val="16"/>
                <w:szCs w:val="16"/>
                <w:lang w:eastAsia="cs-CZ"/>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74F32E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Založení řízení</w:t>
            </w:r>
          </w:p>
        </w:tc>
        <w:tc>
          <w:tcPr>
            <w:tcW w:w="5951" w:type="dxa"/>
            <w:tcBorders>
              <w:top w:val="single" w:sz="4" w:space="0" w:color="auto"/>
              <w:left w:val="single" w:sz="8" w:space="0" w:color="auto"/>
              <w:bottom w:val="single" w:sz="4" w:space="0" w:color="auto"/>
              <w:right w:val="nil"/>
            </w:tcBorders>
            <w:shd w:val="clear" w:color="auto" w:fill="auto"/>
            <w:vAlign w:val="center"/>
            <w:hideMark/>
          </w:tcPr>
          <w:p w14:paraId="3460265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Založení nového řízení na základě podané žádosti (návrhu, oznámení, …) zaevidované ve spisové službě úřadu, příp. založení nového řízení z moci úřední bez prvotní vazby na spisovou službu úřadu s následným vytvořením vazby při prvním odeslání dokumentu do spisové služby úřadu.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7AC162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FDA864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515FD67" w14:textId="77777777" w:rsidTr="008D4FC8">
        <w:trPr>
          <w:trHeight w:val="900"/>
        </w:trPr>
        <w:tc>
          <w:tcPr>
            <w:tcW w:w="1124" w:type="dxa"/>
            <w:vMerge/>
            <w:tcBorders>
              <w:top w:val="single" w:sz="8" w:space="0" w:color="auto"/>
              <w:left w:val="single" w:sz="8" w:space="0" w:color="auto"/>
              <w:bottom w:val="nil"/>
              <w:right w:val="single" w:sz="8" w:space="0" w:color="auto"/>
            </w:tcBorders>
            <w:vAlign w:val="center"/>
            <w:hideMark/>
          </w:tcPr>
          <w:p w14:paraId="68C3D358" w14:textId="77777777" w:rsidR="008D4FC8" w:rsidRPr="008D4FC8" w:rsidRDefault="008D4FC8" w:rsidP="008D4FC8">
            <w:pPr>
              <w:spacing w:after="0"/>
              <w:jc w:val="left"/>
              <w:rPr>
                <w:rFonts w:ascii="Calibri" w:eastAsia="Times New Roman" w:hAnsi="Calibri"/>
                <w:b/>
                <w:bCs/>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3B8FBAB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Účastníci řízení</w:t>
            </w:r>
          </w:p>
        </w:tc>
        <w:tc>
          <w:tcPr>
            <w:tcW w:w="5951" w:type="dxa"/>
            <w:tcBorders>
              <w:top w:val="nil"/>
              <w:left w:val="single" w:sz="8" w:space="0" w:color="auto"/>
              <w:bottom w:val="single" w:sz="4" w:space="0" w:color="auto"/>
              <w:right w:val="nil"/>
            </w:tcBorders>
            <w:shd w:val="clear" w:color="auto" w:fill="auto"/>
            <w:vAlign w:val="center"/>
            <w:hideMark/>
          </w:tcPr>
          <w:p w14:paraId="13FA35CE" w14:textId="5612ED16" w:rsidR="008D4FC8" w:rsidRPr="008D4FC8" w:rsidRDefault="008D4FC8" w:rsidP="00134EBC">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Evidence kompletních informací o účastnících řízení a dotčených orgánech (identifikační údaje, adresa trvalého pobytu, příp. sídla firmy, adresa pro doručování, kontaktní údaje – telefon, fax, email, datová schránka, evidence zástupců, příp. evidence společného zástupce).</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0EECBF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6413C26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EE72E3D" w14:textId="77777777" w:rsidTr="008D4FC8">
        <w:trPr>
          <w:trHeight w:val="675"/>
        </w:trPr>
        <w:tc>
          <w:tcPr>
            <w:tcW w:w="1124" w:type="dxa"/>
            <w:vMerge/>
            <w:tcBorders>
              <w:top w:val="single" w:sz="8" w:space="0" w:color="auto"/>
              <w:left w:val="single" w:sz="8" w:space="0" w:color="auto"/>
              <w:bottom w:val="nil"/>
              <w:right w:val="single" w:sz="8" w:space="0" w:color="auto"/>
            </w:tcBorders>
            <w:vAlign w:val="center"/>
            <w:hideMark/>
          </w:tcPr>
          <w:p w14:paraId="17A733C2" w14:textId="77777777" w:rsidR="008D4FC8" w:rsidRPr="008D4FC8" w:rsidRDefault="008D4FC8" w:rsidP="008D4FC8">
            <w:pPr>
              <w:spacing w:after="0"/>
              <w:jc w:val="left"/>
              <w:rPr>
                <w:rFonts w:ascii="Calibri" w:eastAsia="Times New Roman" w:hAnsi="Calibri"/>
                <w:b/>
                <w:bCs/>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04795D1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Evidence speciálních údajů</w:t>
            </w:r>
          </w:p>
        </w:tc>
        <w:tc>
          <w:tcPr>
            <w:tcW w:w="5951" w:type="dxa"/>
            <w:tcBorders>
              <w:top w:val="nil"/>
              <w:left w:val="single" w:sz="8" w:space="0" w:color="auto"/>
              <w:bottom w:val="single" w:sz="4" w:space="0" w:color="auto"/>
              <w:right w:val="nil"/>
            </w:tcBorders>
            <w:shd w:val="clear" w:color="auto" w:fill="auto"/>
            <w:vAlign w:val="center"/>
            <w:hideMark/>
          </w:tcPr>
          <w:p w14:paraId="3EF4028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Evidence speciálních údajů dle typu případu (informace o kácení a výsadbě, rybářských a loveckých lístcích, odpadech, odnětí pozemků, průkazech a licencích, vodoprávní evidenci apod.).</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32110AF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52DDB7F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DB5A120" w14:textId="77777777" w:rsidTr="008D4FC8">
        <w:trPr>
          <w:trHeight w:val="675"/>
        </w:trPr>
        <w:tc>
          <w:tcPr>
            <w:tcW w:w="1124" w:type="dxa"/>
            <w:vMerge/>
            <w:tcBorders>
              <w:top w:val="single" w:sz="8" w:space="0" w:color="auto"/>
              <w:left w:val="single" w:sz="8" w:space="0" w:color="auto"/>
              <w:bottom w:val="nil"/>
              <w:right w:val="single" w:sz="8" w:space="0" w:color="auto"/>
            </w:tcBorders>
            <w:vAlign w:val="center"/>
            <w:hideMark/>
          </w:tcPr>
          <w:p w14:paraId="25E593C8" w14:textId="77777777" w:rsidR="008D4FC8" w:rsidRPr="008D4FC8" w:rsidRDefault="008D4FC8" w:rsidP="008D4FC8">
            <w:pPr>
              <w:spacing w:after="0"/>
              <w:jc w:val="left"/>
              <w:rPr>
                <w:rFonts w:ascii="Calibri" w:eastAsia="Times New Roman" w:hAnsi="Calibri"/>
                <w:b/>
                <w:bCs/>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73632D4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Průběh řízení</w:t>
            </w:r>
          </w:p>
        </w:tc>
        <w:tc>
          <w:tcPr>
            <w:tcW w:w="5951" w:type="dxa"/>
            <w:tcBorders>
              <w:top w:val="nil"/>
              <w:left w:val="single" w:sz="8" w:space="0" w:color="auto"/>
              <w:bottom w:val="single" w:sz="4" w:space="0" w:color="auto"/>
              <w:right w:val="nil"/>
            </w:tcBorders>
            <w:shd w:val="clear" w:color="auto" w:fill="auto"/>
            <w:vAlign w:val="center"/>
            <w:hideMark/>
          </w:tcPr>
          <w:p w14:paraId="3ECD03E4"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Evidence průběhu správního řízení formou jednotlivých procesních kroků (včetně opatření obecné povahy) s možností hlídání zákonných lhůt plynoucích z jednotlivých úkonů vč. upozornění na uplynutí lhůty.</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5A1B087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5A2161E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EFCA6B8" w14:textId="77777777" w:rsidTr="008D4FC8">
        <w:trPr>
          <w:trHeight w:val="450"/>
        </w:trPr>
        <w:tc>
          <w:tcPr>
            <w:tcW w:w="1124" w:type="dxa"/>
            <w:vMerge/>
            <w:tcBorders>
              <w:top w:val="single" w:sz="8" w:space="0" w:color="auto"/>
              <w:left w:val="single" w:sz="8" w:space="0" w:color="auto"/>
              <w:bottom w:val="nil"/>
              <w:right w:val="single" w:sz="8" w:space="0" w:color="auto"/>
            </w:tcBorders>
            <w:vAlign w:val="center"/>
            <w:hideMark/>
          </w:tcPr>
          <w:p w14:paraId="4BF32A08" w14:textId="77777777" w:rsidR="008D4FC8" w:rsidRPr="008D4FC8" w:rsidRDefault="008D4FC8" w:rsidP="008D4FC8">
            <w:pPr>
              <w:spacing w:after="0"/>
              <w:jc w:val="left"/>
              <w:rPr>
                <w:rFonts w:ascii="Calibri" w:eastAsia="Times New Roman" w:hAnsi="Calibri"/>
                <w:b/>
                <w:bCs/>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4AA053D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Návazná řízení</w:t>
            </w:r>
          </w:p>
        </w:tc>
        <w:tc>
          <w:tcPr>
            <w:tcW w:w="5951" w:type="dxa"/>
            <w:tcBorders>
              <w:top w:val="nil"/>
              <w:left w:val="single" w:sz="8" w:space="0" w:color="auto"/>
              <w:bottom w:val="single" w:sz="4" w:space="0" w:color="auto"/>
              <w:right w:val="nil"/>
            </w:tcBorders>
            <w:shd w:val="clear" w:color="auto" w:fill="auto"/>
            <w:vAlign w:val="center"/>
            <w:hideMark/>
          </w:tcPr>
          <w:p w14:paraId="03BD3E4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Vytvoření návazného řízení s možností elektronického okopírování údajů z předchozího řízení.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E0A846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4864B1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7BC879C" w14:textId="77777777" w:rsidTr="008D4FC8">
        <w:trPr>
          <w:trHeight w:val="1350"/>
        </w:trPr>
        <w:tc>
          <w:tcPr>
            <w:tcW w:w="1124" w:type="dxa"/>
            <w:vMerge/>
            <w:tcBorders>
              <w:top w:val="single" w:sz="8" w:space="0" w:color="auto"/>
              <w:left w:val="single" w:sz="8" w:space="0" w:color="auto"/>
              <w:bottom w:val="nil"/>
              <w:right w:val="single" w:sz="8" w:space="0" w:color="auto"/>
            </w:tcBorders>
            <w:vAlign w:val="center"/>
            <w:hideMark/>
          </w:tcPr>
          <w:p w14:paraId="6D94E577" w14:textId="77777777" w:rsidR="008D4FC8" w:rsidRPr="008D4FC8" w:rsidRDefault="008D4FC8" w:rsidP="008D4FC8">
            <w:pPr>
              <w:spacing w:after="0"/>
              <w:jc w:val="left"/>
              <w:rPr>
                <w:rFonts w:ascii="Calibri" w:eastAsia="Times New Roman" w:hAnsi="Calibri"/>
                <w:b/>
                <w:bCs/>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0433F38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Vodoprávní řízení</w:t>
            </w:r>
          </w:p>
        </w:tc>
        <w:tc>
          <w:tcPr>
            <w:tcW w:w="5951" w:type="dxa"/>
            <w:tcBorders>
              <w:top w:val="nil"/>
              <w:left w:val="single" w:sz="8" w:space="0" w:color="auto"/>
              <w:bottom w:val="single" w:sz="4" w:space="0" w:color="auto"/>
              <w:right w:val="nil"/>
            </w:tcBorders>
            <w:shd w:val="clear" w:color="auto" w:fill="auto"/>
            <w:vAlign w:val="center"/>
            <w:hideMark/>
          </w:tcPr>
          <w:p w14:paraId="581342A9"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 xml:space="preserve">Evidence dat týkajících se vodoprávního řízení dle vyhlášky č. 414/2013 č., o rozsahu a způsobu vedení evidence rozhodnutí, opatření obecné povahy, závazných stanovisek, souhlasů a ohlášení, k nimž byl dán souhlas podle vodního zákona, a částí rozhodnutí podle zákona o integrované prevenci (o vodoprávní evidenci) s vazbou na CEVR - Automatické odesílání rozhodnutí, opatření obecné povahy, závazných stanovisek, souhlasů a ohlášení do Centrálního registru vodoprávních evidencí </w:t>
            </w:r>
            <w:proofErr w:type="spellStart"/>
            <w:r w:rsidRPr="008D4FC8">
              <w:rPr>
                <w:rFonts w:ascii="Calibri" w:eastAsia="Times New Roman" w:hAnsi="Calibri"/>
                <w:sz w:val="16"/>
                <w:szCs w:val="16"/>
                <w:lang w:eastAsia="cs-CZ"/>
              </w:rPr>
              <w:t>MZe</w:t>
            </w:r>
            <w:proofErr w:type="spellEnd"/>
            <w:r w:rsidRPr="008D4FC8">
              <w:rPr>
                <w:rFonts w:ascii="Calibri" w:eastAsia="Times New Roman" w:hAnsi="Calibri"/>
                <w:sz w:val="16"/>
                <w:szCs w:val="16"/>
                <w:lang w:eastAsia="cs-CZ"/>
              </w:rPr>
              <w:t>.</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5F13072" w14:textId="77777777" w:rsidR="008D4FC8" w:rsidRPr="008D4FC8" w:rsidRDefault="008D4FC8" w:rsidP="008D4FC8">
            <w:pPr>
              <w:spacing w:after="0"/>
              <w:jc w:val="left"/>
              <w:rPr>
                <w:rFonts w:ascii="Calibri" w:eastAsia="Times New Roman" w:hAnsi="Calibri"/>
                <w:color w:val="FF0000"/>
                <w:sz w:val="16"/>
                <w:szCs w:val="16"/>
                <w:lang w:eastAsia="cs-CZ"/>
              </w:rPr>
            </w:pPr>
            <w:r w:rsidRPr="008D4FC8">
              <w:rPr>
                <w:rFonts w:ascii="Calibri" w:eastAsia="Times New Roman" w:hAnsi="Calibri"/>
                <w:color w:val="FF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0DC8A90" w14:textId="77777777" w:rsidR="008D4FC8" w:rsidRPr="008D4FC8" w:rsidRDefault="008D4FC8" w:rsidP="008D4FC8">
            <w:pPr>
              <w:spacing w:after="0"/>
              <w:jc w:val="left"/>
              <w:rPr>
                <w:rFonts w:ascii="Calibri" w:eastAsia="Times New Roman" w:hAnsi="Calibri"/>
                <w:color w:val="FF0000"/>
                <w:sz w:val="16"/>
                <w:szCs w:val="16"/>
                <w:lang w:eastAsia="cs-CZ"/>
              </w:rPr>
            </w:pPr>
            <w:r w:rsidRPr="008D4FC8">
              <w:rPr>
                <w:rFonts w:ascii="Calibri" w:eastAsia="Times New Roman" w:hAnsi="Calibri"/>
                <w:color w:val="FF0000"/>
                <w:sz w:val="16"/>
                <w:szCs w:val="16"/>
                <w:lang w:eastAsia="cs-CZ"/>
              </w:rPr>
              <w:t> </w:t>
            </w:r>
          </w:p>
        </w:tc>
      </w:tr>
      <w:tr w:rsidR="008D4FC8" w:rsidRPr="008D4FC8" w14:paraId="2B623A73" w14:textId="77777777" w:rsidTr="008D4FC8">
        <w:trPr>
          <w:trHeight w:val="900"/>
        </w:trPr>
        <w:tc>
          <w:tcPr>
            <w:tcW w:w="1124" w:type="dxa"/>
            <w:vMerge/>
            <w:tcBorders>
              <w:top w:val="single" w:sz="8" w:space="0" w:color="auto"/>
              <w:left w:val="single" w:sz="8" w:space="0" w:color="auto"/>
              <w:bottom w:val="nil"/>
              <w:right w:val="single" w:sz="8" w:space="0" w:color="auto"/>
            </w:tcBorders>
            <w:vAlign w:val="center"/>
            <w:hideMark/>
          </w:tcPr>
          <w:p w14:paraId="46AB4895" w14:textId="77777777" w:rsidR="008D4FC8" w:rsidRPr="008D4FC8" w:rsidRDefault="008D4FC8" w:rsidP="008D4FC8">
            <w:pPr>
              <w:spacing w:after="0"/>
              <w:jc w:val="left"/>
              <w:rPr>
                <w:rFonts w:ascii="Calibri" w:eastAsia="Times New Roman" w:hAnsi="Calibri"/>
                <w:b/>
                <w:bCs/>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340C5EF6"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Souhrnná vyjádření, sdělení, stanoviska</w:t>
            </w:r>
          </w:p>
        </w:tc>
        <w:tc>
          <w:tcPr>
            <w:tcW w:w="5951" w:type="dxa"/>
            <w:tcBorders>
              <w:top w:val="nil"/>
              <w:left w:val="single" w:sz="8" w:space="0" w:color="auto"/>
              <w:bottom w:val="single" w:sz="4" w:space="0" w:color="auto"/>
              <w:right w:val="nil"/>
            </w:tcBorders>
            <w:shd w:val="clear" w:color="auto" w:fill="auto"/>
            <w:vAlign w:val="center"/>
            <w:hideMark/>
          </w:tcPr>
          <w:p w14:paraId="59A3CD3F"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Automatické generování souhrnného vyjádření, sdělení, stanoviska na úseku ŽP v jednom případu.</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C05C77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4C241C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1EAFE7F" w14:textId="77777777" w:rsidTr="008D4FC8">
        <w:trPr>
          <w:trHeight w:val="1125"/>
        </w:trPr>
        <w:tc>
          <w:tcPr>
            <w:tcW w:w="1124" w:type="dxa"/>
            <w:vMerge/>
            <w:tcBorders>
              <w:top w:val="single" w:sz="8" w:space="0" w:color="auto"/>
              <w:left w:val="single" w:sz="8" w:space="0" w:color="auto"/>
              <w:bottom w:val="nil"/>
              <w:right w:val="single" w:sz="8" w:space="0" w:color="auto"/>
            </w:tcBorders>
            <w:vAlign w:val="center"/>
            <w:hideMark/>
          </w:tcPr>
          <w:p w14:paraId="7269085E" w14:textId="77777777" w:rsidR="008D4FC8" w:rsidRPr="008D4FC8" w:rsidRDefault="008D4FC8" w:rsidP="008D4FC8">
            <w:pPr>
              <w:spacing w:after="0"/>
              <w:jc w:val="left"/>
              <w:rPr>
                <w:rFonts w:ascii="Calibri" w:eastAsia="Times New Roman" w:hAnsi="Calibri"/>
                <w:b/>
                <w:bCs/>
                <w:sz w:val="16"/>
                <w:szCs w:val="16"/>
                <w:lang w:eastAsia="cs-CZ"/>
              </w:rPr>
            </w:pPr>
          </w:p>
        </w:tc>
        <w:tc>
          <w:tcPr>
            <w:tcW w:w="1276" w:type="dxa"/>
            <w:tcBorders>
              <w:top w:val="nil"/>
              <w:left w:val="nil"/>
              <w:bottom w:val="single" w:sz="4" w:space="0" w:color="auto"/>
              <w:right w:val="single" w:sz="4" w:space="0" w:color="auto"/>
            </w:tcBorders>
            <w:shd w:val="clear" w:color="auto" w:fill="auto"/>
            <w:vAlign w:val="center"/>
            <w:hideMark/>
          </w:tcPr>
          <w:p w14:paraId="42730000"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Roční výkazy</w:t>
            </w:r>
          </w:p>
        </w:tc>
        <w:tc>
          <w:tcPr>
            <w:tcW w:w="5951" w:type="dxa"/>
            <w:tcBorders>
              <w:top w:val="nil"/>
              <w:left w:val="single" w:sz="8" w:space="0" w:color="auto"/>
              <w:bottom w:val="single" w:sz="4" w:space="0" w:color="auto"/>
              <w:right w:val="nil"/>
            </w:tcBorders>
            <w:shd w:val="clear" w:color="auto" w:fill="auto"/>
            <w:vAlign w:val="center"/>
            <w:hideMark/>
          </w:tcPr>
          <w:p w14:paraId="50D3D199"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Automatické generování sestavy Roční výkaz o odnětí a o poplatcích za odnětí pozemků určených k plnění funkcí lesů (PUPFL) a Roční výkaz o odnětí a o odvodech za odnětí půdy</w:t>
            </w:r>
            <w:r w:rsidRPr="008D4FC8">
              <w:rPr>
                <w:rFonts w:ascii="Calibri" w:eastAsia="Times New Roman" w:hAnsi="Calibri"/>
                <w:sz w:val="16"/>
                <w:szCs w:val="16"/>
                <w:lang w:eastAsia="cs-CZ"/>
              </w:rPr>
              <w:br/>
              <w:t>ze zemědělského půdního fondu (ZPF). Včetně automatizovaného výpočtu odvodů s rozdělením částky pro stát a obec.</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91CAD00" w14:textId="77777777" w:rsidR="008D4FC8" w:rsidRPr="008D4FC8" w:rsidRDefault="008D4FC8" w:rsidP="008D4FC8">
            <w:pPr>
              <w:spacing w:after="0"/>
              <w:jc w:val="left"/>
              <w:rPr>
                <w:rFonts w:ascii="Calibri" w:eastAsia="Times New Roman" w:hAnsi="Calibri"/>
                <w:color w:val="FF0000"/>
                <w:sz w:val="16"/>
                <w:szCs w:val="16"/>
                <w:lang w:eastAsia="cs-CZ"/>
              </w:rPr>
            </w:pPr>
            <w:r w:rsidRPr="008D4FC8">
              <w:rPr>
                <w:rFonts w:ascii="Calibri" w:eastAsia="Times New Roman" w:hAnsi="Calibri"/>
                <w:color w:val="FF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C25D1B7" w14:textId="77777777" w:rsidR="008D4FC8" w:rsidRPr="008D4FC8" w:rsidRDefault="008D4FC8" w:rsidP="008D4FC8">
            <w:pPr>
              <w:spacing w:after="0"/>
              <w:jc w:val="left"/>
              <w:rPr>
                <w:rFonts w:ascii="Calibri" w:eastAsia="Times New Roman" w:hAnsi="Calibri"/>
                <w:color w:val="FF0000"/>
                <w:sz w:val="16"/>
                <w:szCs w:val="16"/>
                <w:lang w:eastAsia="cs-CZ"/>
              </w:rPr>
            </w:pPr>
            <w:r w:rsidRPr="008D4FC8">
              <w:rPr>
                <w:rFonts w:ascii="Calibri" w:eastAsia="Times New Roman" w:hAnsi="Calibri"/>
                <w:color w:val="FF0000"/>
                <w:sz w:val="16"/>
                <w:szCs w:val="16"/>
                <w:lang w:eastAsia="cs-CZ"/>
              </w:rPr>
              <w:t> </w:t>
            </w:r>
          </w:p>
        </w:tc>
      </w:tr>
      <w:tr w:rsidR="008D4FC8" w:rsidRPr="008D4FC8" w14:paraId="22F27E70" w14:textId="77777777" w:rsidTr="008D4FC8">
        <w:trPr>
          <w:trHeight w:val="465"/>
        </w:trPr>
        <w:tc>
          <w:tcPr>
            <w:tcW w:w="1124" w:type="dxa"/>
            <w:vMerge/>
            <w:tcBorders>
              <w:top w:val="single" w:sz="8" w:space="0" w:color="auto"/>
              <w:left w:val="single" w:sz="8" w:space="0" w:color="auto"/>
              <w:bottom w:val="nil"/>
              <w:right w:val="single" w:sz="8" w:space="0" w:color="auto"/>
            </w:tcBorders>
            <w:vAlign w:val="center"/>
            <w:hideMark/>
          </w:tcPr>
          <w:p w14:paraId="4F321DA3" w14:textId="77777777" w:rsidR="008D4FC8" w:rsidRPr="008D4FC8" w:rsidRDefault="008D4FC8" w:rsidP="008D4FC8">
            <w:pPr>
              <w:spacing w:after="0"/>
              <w:jc w:val="left"/>
              <w:rPr>
                <w:rFonts w:ascii="Calibri" w:eastAsia="Times New Roman" w:hAnsi="Calibri"/>
                <w:b/>
                <w:bCs/>
                <w:sz w:val="16"/>
                <w:szCs w:val="16"/>
                <w:lang w:eastAsia="cs-CZ"/>
              </w:rPr>
            </w:pPr>
          </w:p>
        </w:tc>
        <w:tc>
          <w:tcPr>
            <w:tcW w:w="1276" w:type="dxa"/>
            <w:tcBorders>
              <w:top w:val="nil"/>
              <w:left w:val="nil"/>
              <w:bottom w:val="single" w:sz="8" w:space="0" w:color="auto"/>
              <w:right w:val="single" w:sz="4" w:space="0" w:color="auto"/>
            </w:tcBorders>
            <w:shd w:val="clear" w:color="auto" w:fill="auto"/>
            <w:vAlign w:val="center"/>
            <w:hideMark/>
          </w:tcPr>
          <w:p w14:paraId="50A7C55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GIS úřadu</w:t>
            </w:r>
          </w:p>
        </w:tc>
        <w:tc>
          <w:tcPr>
            <w:tcW w:w="5951" w:type="dxa"/>
            <w:tcBorders>
              <w:top w:val="nil"/>
              <w:left w:val="single" w:sz="8" w:space="0" w:color="auto"/>
              <w:bottom w:val="single" w:sz="8" w:space="0" w:color="auto"/>
              <w:right w:val="nil"/>
            </w:tcBorders>
            <w:shd w:val="clear" w:color="auto" w:fill="auto"/>
            <w:vAlign w:val="center"/>
            <w:hideMark/>
          </w:tcPr>
          <w:p w14:paraId="4F4A6D4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GIS úřadu včetně přenosu parcel i vlastníků.</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54E178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FE86EE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BAAF2DB" w14:textId="77777777" w:rsidTr="008D4FC8">
        <w:trPr>
          <w:trHeight w:val="900"/>
        </w:trPr>
        <w:tc>
          <w:tcPr>
            <w:tcW w:w="1124" w:type="dxa"/>
            <w:vMerge w:val="restart"/>
            <w:tcBorders>
              <w:top w:val="single" w:sz="8" w:space="0" w:color="auto"/>
              <w:left w:val="single" w:sz="8" w:space="0" w:color="auto"/>
              <w:bottom w:val="nil"/>
              <w:right w:val="single" w:sz="8" w:space="0" w:color="auto"/>
            </w:tcBorders>
            <w:shd w:val="clear" w:color="auto" w:fill="auto"/>
            <w:vAlign w:val="center"/>
            <w:hideMark/>
          </w:tcPr>
          <w:p w14:paraId="4BE95A37"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Speciální stavební úřad vodoprávní</w:t>
            </w:r>
          </w:p>
        </w:tc>
        <w:tc>
          <w:tcPr>
            <w:tcW w:w="1276" w:type="dxa"/>
            <w:tcBorders>
              <w:top w:val="single" w:sz="8" w:space="0" w:color="auto"/>
              <w:left w:val="nil"/>
              <w:bottom w:val="single" w:sz="4" w:space="0" w:color="auto"/>
              <w:right w:val="nil"/>
            </w:tcBorders>
            <w:shd w:val="clear" w:color="auto" w:fill="auto"/>
            <w:vAlign w:val="center"/>
            <w:hideMark/>
          </w:tcPr>
          <w:p w14:paraId="5236CD6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Legislativní rámec</w:t>
            </w:r>
          </w:p>
        </w:tc>
        <w:tc>
          <w:tcPr>
            <w:tcW w:w="5951" w:type="dxa"/>
            <w:tcBorders>
              <w:top w:val="nil"/>
              <w:left w:val="single" w:sz="8" w:space="0" w:color="auto"/>
              <w:bottom w:val="nil"/>
              <w:right w:val="nil"/>
            </w:tcBorders>
            <w:shd w:val="clear" w:color="auto" w:fill="auto"/>
            <w:vAlign w:val="center"/>
            <w:hideMark/>
          </w:tcPr>
          <w:p w14:paraId="1B7348C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Centrální procesní evidence správních řízení vedených dle § 15 a § 15a zákona č. 254/2001 Sb., vodní zákon, ve znění pozdějších předpisů a zákona č.183/2006 Sb., o územním plánování a stavebním řádu s přímou podporou zákona č. 500/2004 Sb., správní řád, ve znění pozdějších předpisů.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30BAE78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D50467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2FF1843" w14:textId="77777777" w:rsidTr="008D4FC8">
        <w:trPr>
          <w:trHeight w:val="315"/>
        </w:trPr>
        <w:tc>
          <w:tcPr>
            <w:tcW w:w="1124" w:type="dxa"/>
            <w:vMerge/>
            <w:tcBorders>
              <w:top w:val="single" w:sz="8" w:space="0" w:color="auto"/>
              <w:left w:val="single" w:sz="8" w:space="0" w:color="auto"/>
              <w:bottom w:val="nil"/>
              <w:right w:val="single" w:sz="8" w:space="0" w:color="auto"/>
            </w:tcBorders>
            <w:vAlign w:val="center"/>
            <w:hideMark/>
          </w:tcPr>
          <w:p w14:paraId="48338FE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single" w:sz="8" w:space="0" w:color="auto"/>
              <w:bottom w:val="nil"/>
              <w:right w:val="nil"/>
            </w:tcBorders>
            <w:shd w:val="clear" w:color="auto" w:fill="auto"/>
            <w:vAlign w:val="center"/>
            <w:hideMark/>
          </w:tcPr>
          <w:p w14:paraId="7D25652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Typy řízení</w:t>
            </w:r>
          </w:p>
        </w:tc>
        <w:tc>
          <w:tcPr>
            <w:tcW w:w="5951" w:type="dxa"/>
            <w:tcBorders>
              <w:top w:val="single" w:sz="4" w:space="0" w:color="auto"/>
              <w:left w:val="single" w:sz="8" w:space="0" w:color="auto"/>
              <w:bottom w:val="single" w:sz="4" w:space="0" w:color="auto"/>
              <w:right w:val="nil"/>
            </w:tcBorders>
            <w:shd w:val="clear" w:color="auto" w:fill="auto"/>
            <w:vAlign w:val="center"/>
            <w:hideMark/>
          </w:tcPr>
          <w:p w14:paraId="1EA6F5F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Ohlášení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635F7C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5F6FE70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6B97D23"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6F52B3E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52CD9963"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3482426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Stavební povolení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43A68A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FCD6C1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C74AE0D"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6502711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29B892B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28E11B6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Užívání staveb</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5EE5C6C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007207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8F5BEF7"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4345ED22"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6CA704F8"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5E76933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Odstraňování staveb</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5FA2E8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69D69A9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8224300"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36ABEC56"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7C967A94"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33E969B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Udržovací práce</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1C89655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5E0104C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37EA32A"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057153F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67AF9D1F"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572B9F6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Zrušení vodního díla</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3F8F16E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6F6E3F4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CDC9B5F"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5C4685C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188634ED"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6FA92C9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Obnova vodního díla</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48202AB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15139F8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B97104B"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2641595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340E140F"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1B24640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Vodohospodářské úpravy</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5E1E65E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F38A82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537B499"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7D58F551"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58C83017"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12E9D26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Stavební a vodoprávní dozor</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F38758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2402A9C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5C755E4"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151816B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582D4399"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5B8736D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Vyjádření, osvědčení, sdělení, stanoviska</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D4FFCB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0A0040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9C7898D"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4B36BB0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nil"/>
              <w:right w:val="nil"/>
            </w:tcBorders>
            <w:vAlign w:val="center"/>
            <w:hideMark/>
          </w:tcPr>
          <w:p w14:paraId="0DB20C62"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single" w:sz="8" w:space="0" w:color="auto"/>
              <w:bottom w:val="single" w:sz="4" w:space="0" w:color="auto"/>
              <w:right w:val="nil"/>
            </w:tcBorders>
            <w:shd w:val="clear" w:color="auto" w:fill="auto"/>
            <w:vAlign w:val="center"/>
            <w:hideMark/>
          </w:tcPr>
          <w:p w14:paraId="0291C35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Spojená stavební a vodoprávní řízení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D000C9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75EEEB5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76B7809" w14:textId="77777777" w:rsidTr="008D4FC8">
        <w:trPr>
          <w:trHeight w:val="450"/>
        </w:trPr>
        <w:tc>
          <w:tcPr>
            <w:tcW w:w="1124" w:type="dxa"/>
            <w:vMerge/>
            <w:tcBorders>
              <w:top w:val="single" w:sz="8" w:space="0" w:color="auto"/>
              <w:left w:val="single" w:sz="8" w:space="0" w:color="auto"/>
              <w:bottom w:val="nil"/>
              <w:right w:val="single" w:sz="8" w:space="0" w:color="auto"/>
            </w:tcBorders>
            <w:vAlign w:val="center"/>
            <w:hideMark/>
          </w:tcPr>
          <w:p w14:paraId="26F4C65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single" w:sz="4" w:space="0" w:color="auto"/>
              <w:left w:val="nil"/>
              <w:bottom w:val="single" w:sz="4" w:space="0" w:color="auto"/>
              <w:right w:val="single" w:sz="8" w:space="0" w:color="auto"/>
            </w:tcBorders>
            <w:shd w:val="clear" w:color="auto" w:fill="auto"/>
            <w:vAlign w:val="center"/>
            <w:hideMark/>
          </w:tcPr>
          <w:p w14:paraId="176A6CA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Odesílání rozhodnutí</w:t>
            </w:r>
          </w:p>
        </w:tc>
        <w:tc>
          <w:tcPr>
            <w:tcW w:w="5951" w:type="dxa"/>
            <w:tcBorders>
              <w:top w:val="nil"/>
              <w:left w:val="nil"/>
              <w:bottom w:val="single" w:sz="4" w:space="0" w:color="auto"/>
              <w:right w:val="nil"/>
            </w:tcBorders>
            <w:shd w:val="clear" w:color="auto" w:fill="auto"/>
            <w:vAlign w:val="center"/>
            <w:hideMark/>
          </w:tcPr>
          <w:p w14:paraId="68D5E84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Automatické odesílání rozhodnutí, opatření obecné povahy, závazných stanovisek, souhlasů a ohlášení do Centrálního registru vodoprávních evidencí </w:t>
            </w:r>
            <w:proofErr w:type="spellStart"/>
            <w:r w:rsidRPr="008D4FC8">
              <w:rPr>
                <w:rFonts w:ascii="Calibri" w:eastAsia="Times New Roman" w:hAnsi="Calibri"/>
                <w:color w:val="000000"/>
                <w:sz w:val="16"/>
                <w:szCs w:val="16"/>
                <w:lang w:eastAsia="cs-CZ"/>
              </w:rPr>
              <w:t>MZe</w:t>
            </w:r>
            <w:proofErr w:type="spellEnd"/>
            <w:r w:rsidRPr="008D4FC8">
              <w:rPr>
                <w:rFonts w:ascii="Calibri" w:eastAsia="Times New Roman" w:hAnsi="Calibri"/>
                <w:color w:val="000000"/>
                <w:sz w:val="16"/>
                <w:szCs w:val="16"/>
                <w:lang w:eastAsia="cs-CZ"/>
              </w:rPr>
              <w:t>.</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13BCCF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1E3236C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E033477"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40E8B6A7"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3AB4062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Statistika</w:t>
            </w:r>
          </w:p>
        </w:tc>
        <w:tc>
          <w:tcPr>
            <w:tcW w:w="5951" w:type="dxa"/>
            <w:tcBorders>
              <w:top w:val="nil"/>
              <w:left w:val="nil"/>
              <w:bottom w:val="nil"/>
              <w:right w:val="nil"/>
            </w:tcBorders>
            <w:shd w:val="clear" w:color="auto" w:fill="auto"/>
            <w:vAlign w:val="center"/>
            <w:hideMark/>
          </w:tcPr>
          <w:p w14:paraId="275CC5B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Generování podkladů pro statistiky Českého statistického úřadu (Stav 7-99)</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D198BC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814B8D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8240314"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3C00B3D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1FF12B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GIS</w:t>
            </w:r>
          </w:p>
        </w:tc>
        <w:tc>
          <w:tcPr>
            <w:tcW w:w="5951" w:type="dxa"/>
            <w:tcBorders>
              <w:top w:val="single" w:sz="4" w:space="0" w:color="auto"/>
              <w:left w:val="nil"/>
              <w:bottom w:val="single" w:sz="4" w:space="0" w:color="auto"/>
              <w:right w:val="nil"/>
            </w:tcBorders>
            <w:shd w:val="clear" w:color="auto" w:fill="auto"/>
            <w:vAlign w:val="center"/>
            <w:hideMark/>
          </w:tcPr>
          <w:p w14:paraId="317D123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GIS úřadu včetně přenosu parcel i vlastníků.</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631139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3C859A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C76713C"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189704F0"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4A5299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KN</w:t>
            </w:r>
          </w:p>
        </w:tc>
        <w:tc>
          <w:tcPr>
            <w:tcW w:w="5951" w:type="dxa"/>
            <w:tcBorders>
              <w:top w:val="nil"/>
              <w:left w:val="nil"/>
              <w:bottom w:val="single" w:sz="4" w:space="0" w:color="auto"/>
              <w:right w:val="nil"/>
            </w:tcBorders>
            <w:shd w:val="clear" w:color="auto" w:fill="auto"/>
            <w:vAlign w:val="center"/>
            <w:hideMark/>
          </w:tcPr>
          <w:p w14:paraId="7F39DE8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Aktualizace dat z katastru nemovitostí.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A1B866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CFF629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1C0AC62" w14:textId="77777777" w:rsidTr="008D4FC8">
        <w:trPr>
          <w:trHeight w:val="300"/>
        </w:trPr>
        <w:tc>
          <w:tcPr>
            <w:tcW w:w="1124" w:type="dxa"/>
            <w:vMerge/>
            <w:tcBorders>
              <w:top w:val="single" w:sz="8" w:space="0" w:color="auto"/>
              <w:left w:val="single" w:sz="8" w:space="0" w:color="auto"/>
              <w:bottom w:val="nil"/>
              <w:right w:val="single" w:sz="8" w:space="0" w:color="auto"/>
            </w:tcBorders>
            <w:vAlign w:val="center"/>
            <w:hideMark/>
          </w:tcPr>
          <w:p w14:paraId="56E2C29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4510D9A"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Vazba na CEVR</w:t>
            </w:r>
          </w:p>
        </w:tc>
        <w:tc>
          <w:tcPr>
            <w:tcW w:w="5951" w:type="dxa"/>
            <w:tcBorders>
              <w:top w:val="nil"/>
              <w:left w:val="nil"/>
              <w:bottom w:val="single" w:sz="4" w:space="0" w:color="auto"/>
              <w:right w:val="nil"/>
            </w:tcBorders>
            <w:shd w:val="clear" w:color="auto" w:fill="auto"/>
            <w:vAlign w:val="center"/>
            <w:hideMark/>
          </w:tcPr>
          <w:p w14:paraId="44839D7E" w14:textId="77777777" w:rsidR="008D4FC8" w:rsidRPr="008D4FC8" w:rsidRDefault="008D4FC8" w:rsidP="008D4FC8">
            <w:pPr>
              <w:spacing w:after="0"/>
              <w:jc w:val="left"/>
              <w:rPr>
                <w:rFonts w:ascii="Calibri" w:eastAsia="Times New Roman" w:hAnsi="Calibri"/>
                <w:sz w:val="16"/>
                <w:szCs w:val="16"/>
                <w:lang w:eastAsia="cs-CZ"/>
              </w:rPr>
            </w:pPr>
            <w:r w:rsidRPr="008D4FC8">
              <w:rPr>
                <w:rFonts w:ascii="Calibri" w:eastAsia="Times New Roman" w:hAnsi="Calibri"/>
                <w:sz w:val="16"/>
                <w:szCs w:val="16"/>
                <w:lang w:eastAsia="cs-CZ"/>
              </w:rPr>
              <w:t>Automatizovaný zápis do Celostátní vodoprávní evidence.</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83DCEB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46309B3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715A11DE" w14:textId="77777777" w:rsidTr="008D4FC8">
        <w:trPr>
          <w:trHeight w:val="465"/>
        </w:trPr>
        <w:tc>
          <w:tcPr>
            <w:tcW w:w="1124" w:type="dxa"/>
            <w:vMerge/>
            <w:tcBorders>
              <w:top w:val="single" w:sz="8" w:space="0" w:color="auto"/>
              <w:left w:val="single" w:sz="8" w:space="0" w:color="auto"/>
              <w:bottom w:val="nil"/>
              <w:right w:val="single" w:sz="8" w:space="0" w:color="auto"/>
            </w:tcBorders>
            <w:vAlign w:val="center"/>
            <w:hideMark/>
          </w:tcPr>
          <w:p w14:paraId="67A2060A"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4DCE90B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web ČÚZK</w:t>
            </w:r>
          </w:p>
        </w:tc>
        <w:tc>
          <w:tcPr>
            <w:tcW w:w="5951" w:type="dxa"/>
            <w:tcBorders>
              <w:top w:val="nil"/>
              <w:left w:val="nil"/>
              <w:bottom w:val="single" w:sz="8" w:space="0" w:color="auto"/>
              <w:right w:val="nil"/>
            </w:tcBorders>
            <w:shd w:val="clear" w:color="auto" w:fill="auto"/>
            <w:vAlign w:val="center"/>
            <w:hideMark/>
          </w:tcPr>
          <w:p w14:paraId="08918EB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Zobrazení informací o pozemku, vlastnících a právních vztazích a mapových podkladech na webových stránkách ČÚZK</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531D206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1F71F1E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C155198" w14:textId="77777777" w:rsidTr="008D4FC8">
        <w:trPr>
          <w:trHeight w:val="2475"/>
        </w:trPr>
        <w:tc>
          <w:tcPr>
            <w:tcW w:w="11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76C6185" w14:textId="77777777" w:rsidR="008D4FC8" w:rsidRPr="008D4FC8" w:rsidRDefault="008D4FC8" w:rsidP="008D4FC8">
            <w:pPr>
              <w:spacing w:after="0"/>
              <w:jc w:val="center"/>
              <w:rPr>
                <w:rFonts w:ascii="Calibri" w:eastAsia="Times New Roman" w:hAnsi="Calibri"/>
                <w:b/>
                <w:bCs/>
                <w:color w:val="000000"/>
                <w:sz w:val="16"/>
                <w:szCs w:val="16"/>
                <w:lang w:eastAsia="cs-CZ"/>
              </w:rPr>
            </w:pPr>
            <w:r w:rsidRPr="008D4FC8">
              <w:rPr>
                <w:rFonts w:ascii="Calibri" w:eastAsia="Times New Roman" w:hAnsi="Calibri"/>
                <w:b/>
                <w:bCs/>
                <w:color w:val="000000"/>
                <w:sz w:val="16"/>
                <w:szCs w:val="16"/>
                <w:lang w:eastAsia="cs-CZ"/>
              </w:rPr>
              <w:t xml:space="preserve">Stavební řízení a územní plánování </w:t>
            </w:r>
          </w:p>
        </w:tc>
        <w:tc>
          <w:tcPr>
            <w:tcW w:w="1276" w:type="dxa"/>
            <w:tcBorders>
              <w:top w:val="single" w:sz="8" w:space="0" w:color="auto"/>
              <w:left w:val="nil"/>
              <w:bottom w:val="single" w:sz="4" w:space="0" w:color="auto"/>
              <w:right w:val="nil"/>
            </w:tcBorders>
            <w:shd w:val="clear" w:color="auto" w:fill="auto"/>
            <w:vAlign w:val="center"/>
            <w:hideMark/>
          </w:tcPr>
          <w:p w14:paraId="03E5E62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Legislativní rámec</w:t>
            </w:r>
          </w:p>
        </w:tc>
        <w:tc>
          <w:tcPr>
            <w:tcW w:w="5951" w:type="dxa"/>
            <w:tcBorders>
              <w:top w:val="nil"/>
              <w:left w:val="single" w:sz="8" w:space="0" w:color="auto"/>
              <w:bottom w:val="nil"/>
              <w:right w:val="nil"/>
            </w:tcBorders>
            <w:shd w:val="clear" w:color="auto" w:fill="auto"/>
            <w:vAlign w:val="center"/>
            <w:hideMark/>
          </w:tcPr>
          <w:p w14:paraId="25BA96B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Centrální procesní evidence správních řízení vedených dle zákona č. 183/2006 Sb., o územním plánování a stavebním řádu (stavební zákon) s přímou podporou zákona č. 500/2004 Sb., správní řád, ve znění pozdějších předpisů, zahrnující:</w:t>
            </w:r>
            <w:r w:rsidRPr="008D4FC8">
              <w:rPr>
                <w:rFonts w:ascii="Calibri" w:eastAsia="Times New Roman" w:hAnsi="Calibri"/>
                <w:color w:val="000000"/>
                <w:sz w:val="16"/>
                <w:szCs w:val="16"/>
                <w:lang w:eastAsia="cs-CZ"/>
              </w:rPr>
              <w:br/>
              <w:t>• Územně plánovací informace (§ 21 zákona č. 183/2006 Sb.),</w:t>
            </w:r>
            <w:r w:rsidRPr="008D4FC8">
              <w:rPr>
                <w:rFonts w:ascii="Calibri" w:eastAsia="Times New Roman" w:hAnsi="Calibri"/>
                <w:color w:val="000000"/>
                <w:sz w:val="16"/>
                <w:szCs w:val="16"/>
                <w:lang w:eastAsia="cs-CZ"/>
              </w:rPr>
              <w:br/>
              <w:t>• Spojené územní a stavební řízení (§ 78 odst. 1 zákon č. 183/2006 Sb.),</w:t>
            </w:r>
            <w:r w:rsidRPr="008D4FC8">
              <w:rPr>
                <w:rFonts w:ascii="Calibri" w:eastAsia="Times New Roman" w:hAnsi="Calibri"/>
                <w:color w:val="000000"/>
                <w:sz w:val="16"/>
                <w:szCs w:val="16"/>
                <w:lang w:eastAsia="cs-CZ"/>
              </w:rPr>
              <w:br/>
              <w:t>• Ohlášení jednoduché stavby, terénních úprav, zařízení a udržovacích prací (§ 15 zákon č. 254/2001 Sb., § 104 - § 108 zákon č. 183/2006 Sb.),</w:t>
            </w:r>
            <w:r w:rsidRPr="008D4FC8">
              <w:rPr>
                <w:rFonts w:ascii="Calibri" w:eastAsia="Times New Roman" w:hAnsi="Calibri"/>
                <w:color w:val="000000"/>
                <w:sz w:val="16"/>
                <w:szCs w:val="16"/>
                <w:lang w:eastAsia="cs-CZ"/>
              </w:rPr>
              <w:br/>
              <w:t>• Kolaudační souhlas (§ 16 zákon č. 13/1997 Sb., § 122 zákon č. 183/2006 Sb.),</w:t>
            </w:r>
            <w:r w:rsidRPr="008D4FC8">
              <w:rPr>
                <w:rFonts w:ascii="Calibri" w:eastAsia="Times New Roman" w:hAnsi="Calibri"/>
                <w:color w:val="000000"/>
                <w:sz w:val="16"/>
                <w:szCs w:val="16"/>
                <w:lang w:eastAsia="cs-CZ"/>
              </w:rPr>
              <w:br/>
              <w:t>• Nařízení odstranění stavby, terénních úprav a zařízení (§ 16 zákon č. 13/1997 Sb., § 129 zákon č. 183/2006 Sb.).</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235E28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6840E16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71A9625"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8E7FEC5"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single" w:sz="4" w:space="0" w:color="auto"/>
              <w:left w:val="single" w:sz="8" w:space="0" w:color="auto"/>
              <w:bottom w:val="single" w:sz="4" w:space="0" w:color="000000"/>
              <w:right w:val="single" w:sz="8" w:space="0" w:color="auto"/>
            </w:tcBorders>
            <w:shd w:val="clear" w:color="auto" w:fill="auto"/>
            <w:vAlign w:val="center"/>
            <w:hideMark/>
          </w:tcPr>
          <w:p w14:paraId="7725C18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Typy řízení</w:t>
            </w:r>
          </w:p>
        </w:tc>
        <w:tc>
          <w:tcPr>
            <w:tcW w:w="5951" w:type="dxa"/>
            <w:tcBorders>
              <w:top w:val="single" w:sz="4" w:space="0" w:color="auto"/>
              <w:left w:val="nil"/>
              <w:bottom w:val="single" w:sz="4" w:space="0" w:color="auto"/>
              <w:right w:val="nil"/>
            </w:tcBorders>
            <w:shd w:val="clear" w:color="auto" w:fill="auto"/>
            <w:vAlign w:val="center"/>
            <w:hideMark/>
          </w:tcPr>
          <w:p w14:paraId="7E7D481A"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Územní řízení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2744105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7933E66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2CFDED48"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1FEE12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1A119674"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nil"/>
              <w:bottom w:val="single" w:sz="4" w:space="0" w:color="auto"/>
              <w:right w:val="nil"/>
            </w:tcBorders>
            <w:shd w:val="clear" w:color="auto" w:fill="auto"/>
            <w:vAlign w:val="center"/>
            <w:hideMark/>
          </w:tcPr>
          <w:p w14:paraId="2FC5937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Územní souhlas</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49B7265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1246462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5CFAB56"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484B5F4"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12452078"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nil"/>
              <w:bottom w:val="single" w:sz="4" w:space="0" w:color="auto"/>
              <w:right w:val="nil"/>
            </w:tcBorders>
            <w:shd w:val="clear" w:color="auto" w:fill="auto"/>
            <w:vAlign w:val="center"/>
            <w:hideMark/>
          </w:tcPr>
          <w:p w14:paraId="00FB525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Stavební povolení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4493B185"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710E1F3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4EA29B0"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AECEAEB"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7DFD09B1"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nil"/>
              <w:bottom w:val="single" w:sz="4" w:space="0" w:color="auto"/>
              <w:right w:val="nil"/>
            </w:tcBorders>
            <w:shd w:val="clear" w:color="auto" w:fill="auto"/>
            <w:vAlign w:val="center"/>
            <w:hideMark/>
          </w:tcPr>
          <w:p w14:paraId="6F69C0B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Užívání staveb</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4712F83C"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DC9E1D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5AFD8ED"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64DEEF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16D59C7A"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nil"/>
              <w:bottom w:val="single" w:sz="4" w:space="0" w:color="auto"/>
              <w:right w:val="nil"/>
            </w:tcBorders>
            <w:shd w:val="clear" w:color="auto" w:fill="auto"/>
            <w:vAlign w:val="center"/>
            <w:hideMark/>
          </w:tcPr>
          <w:p w14:paraId="1BE0BBE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Odstraňování staveb</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17946C2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404C2BF"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334F72B2"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621D723"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4B4727CA"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nil"/>
              <w:bottom w:val="single" w:sz="4" w:space="0" w:color="auto"/>
              <w:right w:val="nil"/>
            </w:tcBorders>
            <w:shd w:val="clear" w:color="auto" w:fill="auto"/>
            <w:vAlign w:val="center"/>
            <w:hideMark/>
          </w:tcPr>
          <w:p w14:paraId="03CE549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Udržovací práce</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1D8EEC8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F14FD8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69F63DB"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9EFEF28"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54B698DD"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nil"/>
              <w:bottom w:val="single" w:sz="4" w:space="0" w:color="auto"/>
              <w:right w:val="nil"/>
            </w:tcBorders>
            <w:shd w:val="clear" w:color="auto" w:fill="auto"/>
            <w:vAlign w:val="center"/>
            <w:hideMark/>
          </w:tcPr>
          <w:p w14:paraId="7C132D2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Vyjádření, osvědčení, sdělení, stanoviska</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06B7127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384C6A8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D373B34"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BC6A5D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5ED52EC7"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nil"/>
              <w:bottom w:val="single" w:sz="4" w:space="0" w:color="auto"/>
              <w:right w:val="nil"/>
            </w:tcBorders>
            <w:shd w:val="clear" w:color="auto" w:fill="auto"/>
            <w:vAlign w:val="center"/>
            <w:hideMark/>
          </w:tcPr>
          <w:p w14:paraId="337063E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Spojená stavební a územní řízení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79B680EB"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697CA0F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434AB0B"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AE72B2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11707621"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nil"/>
              <w:bottom w:val="single" w:sz="4" w:space="0" w:color="auto"/>
              <w:right w:val="nil"/>
            </w:tcBorders>
            <w:shd w:val="clear" w:color="auto" w:fill="auto"/>
            <w:vAlign w:val="center"/>
            <w:hideMark/>
          </w:tcPr>
          <w:p w14:paraId="2270918D"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Územní plánování </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538CA59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55B963C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60E45728"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392AD39"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14:paraId="1D0C3096"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tcBorders>
              <w:top w:val="nil"/>
              <w:left w:val="nil"/>
              <w:bottom w:val="single" w:sz="4" w:space="0" w:color="auto"/>
              <w:right w:val="nil"/>
            </w:tcBorders>
            <w:shd w:val="clear" w:color="auto" w:fill="auto"/>
            <w:vAlign w:val="center"/>
            <w:hideMark/>
          </w:tcPr>
          <w:p w14:paraId="77B0ABE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Ohlášení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4FBFACB6"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07519C4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068706F1" w14:textId="77777777" w:rsidTr="008D4FC8">
        <w:trPr>
          <w:trHeight w:val="67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2F088CD"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0BCF03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Statistika</w:t>
            </w:r>
          </w:p>
        </w:tc>
        <w:tc>
          <w:tcPr>
            <w:tcW w:w="5951" w:type="dxa"/>
            <w:tcBorders>
              <w:top w:val="nil"/>
              <w:left w:val="nil"/>
              <w:bottom w:val="single" w:sz="4" w:space="0" w:color="auto"/>
              <w:right w:val="nil"/>
            </w:tcBorders>
            <w:shd w:val="clear" w:color="auto" w:fill="auto"/>
            <w:vAlign w:val="center"/>
            <w:hideMark/>
          </w:tcPr>
          <w:p w14:paraId="7B57923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xml:space="preserve">Generování podkladů pro statistiky Českého statistického úřadu: </w:t>
            </w:r>
            <w:r w:rsidRPr="008D4FC8">
              <w:rPr>
                <w:rFonts w:ascii="Calibri" w:eastAsia="Times New Roman" w:hAnsi="Calibri"/>
                <w:color w:val="000000"/>
                <w:sz w:val="16"/>
                <w:szCs w:val="16"/>
                <w:lang w:eastAsia="cs-CZ"/>
              </w:rPr>
              <w:br/>
              <w:t>Měsíční výkaz o stavebních ohlášeních a povoleních, budovách a bytech (Stav 2-12)</w:t>
            </w:r>
            <w:r w:rsidRPr="008D4FC8">
              <w:rPr>
                <w:rFonts w:ascii="Calibri" w:eastAsia="Times New Roman" w:hAnsi="Calibri"/>
                <w:color w:val="000000"/>
                <w:sz w:val="16"/>
                <w:szCs w:val="16"/>
                <w:lang w:eastAsia="cs-CZ"/>
              </w:rPr>
              <w:br/>
              <w:t>Hlášení o dokončení budovy nebo o dokončení bytu (Stav 7-99)</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9904E72"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601E53F0"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54B4FAB"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521FC7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3DFC59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GIS</w:t>
            </w:r>
          </w:p>
        </w:tc>
        <w:tc>
          <w:tcPr>
            <w:tcW w:w="5951" w:type="dxa"/>
            <w:tcBorders>
              <w:top w:val="nil"/>
              <w:left w:val="nil"/>
              <w:bottom w:val="single" w:sz="4" w:space="0" w:color="auto"/>
              <w:right w:val="nil"/>
            </w:tcBorders>
            <w:shd w:val="clear" w:color="auto" w:fill="auto"/>
            <w:vAlign w:val="center"/>
            <w:hideMark/>
          </w:tcPr>
          <w:p w14:paraId="3AACE41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GIS úřadu včetně přenosu parcel i vlastníků.</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15B707D9"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29B4B9D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5918E177" w14:textId="77777777" w:rsidTr="008D4FC8">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053C1AAE"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6DD84A98"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KN</w:t>
            </w:r>
          </w:p>
        </w:tc>
        <w:tc>
          <w:tcPr>
            <w:tcW w:w="5951" w:type="dxa"/>
            <w:tcBorders>
              <w:top w:val="nil"/>
              <w:left w:val="nil"/>
              <w:bottom w:val="single" w:sz="4" w:space="0" w:color="auto"/>
              <w:right w:val="nil"/>
            </w:tcBorders>
            <w:shd w:val="clear" w:color="auto" w:fill="auto"/>
            <w:vAlign w:val="center"/>
            <w:hideMark/>
          </w:tcPr>
          <w:p w14:paraId="1DB28AB4"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Aktualizace dat z katastru nemovitostí.</w:t>
            </w:r>
          </w:p>
        </w:tc>
        <w:tc>
          <w:tcPr>
            <w:tcW w:w="2863" w:type="dxa"/>
            <w:tcBorders>
              <w:top w:val="nil"/>
              <w:left w:val="single" w:sz="4" w:space="0" w:color="auto"/>
              <w:bottom w:val="single" w:sz="4" w:space="0" w:color="auto"/>
              <w:right w:val="single" w:sz="4" w:space="0" w:color="auto"/>
            </w:tcBorders>
            <w:shd w:val="clear" w:color="auto" w:fill="auto"/>
            <w:noWrap/>
            <w:vAlign w:val="bottom"/>
            <w:hideMark/>
          </w:tcPr>
          <w:p w14:paraId="657FDB01"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tcBorders>
              <w:top w:val="nil"/>
              <w:left w:val="nil"/>
              <w:bottom w:val="single" w:sz="4" w:space="0" w:color="auto"/>
              <w:right w:val="single" w:sz="8" w:space="0" w:color="auto"/>
            </w:tcBorders>
            <w:shd w:val="clear" w:color="auto" w:fill="auto"/>
            <w:noWrap/>
            <w:vAlign w:val="bottom"/>
            <w:hideMark/>
          </w:tcPr>
          <w:p w14:paraId="7501975E"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1A54DC33" w14:textId="77777777" w:rsidTr="008D4FC8">
        <w:trPr>
          <w:trHeight w:val="51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2A8E76DC"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672AD97"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Vazba na web ČÚZK</w:t>
            </w:r>
          </w:p>
        </w:tc>
        <w:tc>
          <w:tcPr>
            <w:tcW w:w="5951" w:type="dxa"/>
            <w:vMerge w:val="restart"/>
            <w:tcBorders>
              <w:top w:val="single" w:sz="4" w:space="0" w:color="auto"/>
              <w:left w:val="single" w:sz="8" w:space="0" w:color="auto"/>
              <w:bottom w:val="single" w:sz="8" w:space="0" w:color="000000"/>
              <w:right w:val="nil"/>
            </w:tcBorders>
            <w:shd w:val="clear" w:color="auto" w:fill="auto"/>
            <w:vAlign w:val="center"/>
            <w:hideMark/>
          </w:tcPr>
          <w:p w14:paraId="687A4143" w14:textId="77777777" w:rsidR="008D4FC8" w:rsidRPr="008D4FC8" w:rsidRDefault="008D4FC8" w:rsidP="008D4FC8">
            <w:pPr>
              <w:spacing w:after="0"/>
              <w:jc w:val="left"/>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Zobrazení informací o pozemku, vlastnících a právních vztazích a mapových podkladech na webových stránkách ČÚZK</w:t>
            </w:r>
          </w:p>
        </w:tc>
        <w:tc>
          <w:tcPr>
            <w:tcW w:w="2863"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35268527" w14:textId="77777777" w:rsidR="008D4FC8" w:rsidRPr="008D4FC8" w:rsidRDefault="008D4FC8" w:rsidP="008D4FC8">
            <w:pPr>
              <w:spacing w:after="0"/>
              <w:jc w:val="center"/>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c>
          <w:tcPr>
            <w:tcW w:w="2403" w:type="dxa"/>
            <w:vMerge w:val="restart"/>
            <w:tcBorders>
              <w:top w:val="nil"/>
              <w:left w:val="single" w:sz="4" w:space="0" w:color="auto"/>
              <w:bottom w:val="single" w:sz="8" w:space="0" w:color="000000"/>
              <w:right w:val="single" w:sz="8" w:space="0" w:color="auto"/>
            </w:tcBorders>
            <w:shd w:val="clear" w:color="auto" w:fill="auto"/>
            <w:noWrap/>
            <w:vAlign w:val="bottom"/>
            <w:hideMark/>
          </w:tcPr>
          <w:p w14:paraId="21CEEC88" w14:textId="77777777" w:rsidR="008D4FC8" w:rsidRPr="008D4FC8" w:rsidRDefault="008D4FC8" w:rsidP="008D4FC8">
            <w:pPr>
              <w:spacing w:after="0"/>
              <w:jc w:val="center"/>
              <w:rPr>
                <w:rFonts w:ascii="Calibri" w:eastAsia="Times New Roman" w:hAnsi="Calibri"/>
                <w:color w:val="000000"/>
                <w:sz w:val="16"/>
                <w:szCs w:val="16"/>
                <w:lang w:eastAsia="cs-CZ"/>
              </w:rPr>
            </w:pPr>
            <w:r w:rsidRPr="008D4FC8">
              <w:rPr>
                <w:rFonts w:ascii="Calibri" w:eastAsia="Times New Roman" w:hAnsi="Calibri"/>
                <w:color w:val="000000"/>
                <w:sz w:val="16"/>
                <w:szCs w:val="16"/>
                <w:lang w:eastAsia="cs-CZ"/>
              </w:rPr>
              <w:t> </w:t>
            </w:r>
          </w:p>
        </w:tc>
      </w:tr>
      <w:tr w:rsidR="008D4FC8" w:rsidRPr="008D4FC8" w14:paraId="4CC0CF87" w14:textId="77777777" w:rsidTr="008D4FC8">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4904C3F" w14:textId="77777777" w:rsidR="008D4FC8" w:rsidRPr="008D4FC8" w:rsidRDefault="008D4FC8" w:rsidP="008D4FC8">
            <w:pPr>
              <w:spacing w:after="0"/>
              <w:jc w:val="left"/>
              <w:rPr>
                <w:rFonts w:ascii="Calibri" w:eastAsia="Times New Roman" w:hAnsi="Calibri"/>
                <w:b/>
                <w:bCs/>
                <w:color w:val="000000"/>
                <w:sz w:val="16"/>
                <w:szCs w:val="16"/>
                <w:lang w:eastAsia="cs-CZ"/>
              </w:rPr>
            </w:pPr>
          </w:p>
        </w:tc>
        <w:tc>
          <w:tcPr>
            <w:tcW w:w="1276" w:type="dxa"/>
            <w:vMerge/>
            <w:tcBorders>
              <w:top w:val="nil"/>
              <w:left w:val="single" w:sz="8" w:space="0" w:color="auto"/>
              <w:bottom w:val="single" w:sz="8" w:space="0" w:color="000000"/>
              <w:right w:val="single" w:sz="8" w:space="0" w:color="auto"/>
            </w:tcBorders>
            <w:vAlign w:val="center"/>
            <w:hideMark/>
          </w:tcPr>
          <w:p w14:paraId="6EC9DDCF"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5951" w:type="dxa"/>
            <w:vMerge/>
            <w:tcBorders>
              <w:top w:val="single" w:sz="4" w:space="0" w:color="auto"/>
              <w:left w:val="single" w:sz="8" w:space="0" w:color="auto"/>
              <w:bottom w:val="single" w:sz="8" w:space="0" w:color="000000"/>
              <w:right w:val="nil"/>
            </w:tcBorders>
            <w:vAlign w:val="center"/>
            <w:hideMark/>
          </w:tcPr>
          <w:p w14:paraId="514F2EA2"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2863" w:type="dxa"/>
            <w:vMerge/>
            <w:tcBorders>
              <w:top w:val="nil"/>
              <w:left w:val="single" w:sz="4" w:space="0" w:color="auto"/>
              <w:bottom w:val="single" w:sz="8" w:space="0" w:color="000000"/>
              <w:right w:val="single" w:sz="4" w:space="0" w:color="auto"/>
            </w:tcBorders>
            <w:vAlign w:val="center"/>
            <w:hideMark/>
          </w:tcPr>
          <w:p w14:paraId="65BCCDFF" w14:textId="77777777" w:rsidR="008D4FC8" w:rsidRPr="008D4FC8" w:rsidRDefault="008D4FC8" w:rsidP="008D4FC8">
            <w:pPr>
              <w:spacing w:after="0"/>
              <w:jc w:val="left"/>
              <w:rPr>
                <w:rFonts w:ascii="Calibri" w:eastAsia="Times New Roman" w:hAnsi="Calibri"/>
                <w:color w:val="000000"/>
                <w:sz w:val="16"/>
                <w:szCs w:val="16"/>
                <w:lang w:eastAsia="cs-CZ"/>
              </w:rPr>
            </w:pPr>
          </w:p>
        </w:tc>
        <w:tc>
          <w:tcPr>
            <w:tcW w:w="2403" w:type="dxa"/>
            <w:vMerge/>
            <w:tcBorders>
              <w:top w:val="nil"/>
              <w:left w:val="single" w:sz="4" w:space="0" w:color="auto"/>
              <w:bottom w:val="single" w:sz="8" w:space="0" w:color="000000"/>
              <w:right w:val="single" w:sz="8" w:space="0" w:color="auto"/>
            </w:tcBorders>
            <w:vAlign w:val="center"/>
            <w:hideMark/>
          </w:tcPr>
          <w:p w14:paraId="1737A4FA" w14:textId="77777777" w:rsidR="008D4FC8" w:rsidRPr="008D4FC8" w:rsidRDefault="008D4FC8" w:rsidP="008D4FC8">
            <w:pPr>
              <w:spacing w:after="0"/>
              <w:jc w:val="left"/>
              <w:rPr>
                <w:rFonts w:ascii="Calibri" w:eastAsia="Times New Roman" w:hAnsi="Calibri"/>
                <w:color w:val="000000"/>
                <w:sz w:val="16"/>
                <w:szCs w:val="16"/>
                <w:lang w:eastAsia="cs-CZ"/>
              </w:rPr>
            </w:pPr>
          </w:p>
        </w:tc>
      </w:tr>
    </w:tbl>
    <w:p w14:paraId="004B2745" w14:textId="77777777" w:rsidR="008D4FC8" w:rsidRDefault="008D4FC8" w:rsidP="00237F6F">
      <w:pPr>
        <w:pStyle w:val="Normln-Odstavec"/>
        <w:numPr>
          <w:ilvl w:val="0"/>
          <w:numId w:val="0"/>
        </w:numPr>
      </w:pPr>
    </w:p>
    <w:tbl>
      <w:tblPr>
        <w:tblW w:w="0" w:type="auto"/>
        <w:tblInd w:w="80" w:type="dxa"/>
        <w:tblCellMar>
          <w:left w:w="70" w:type="dxa"/>
          <w:right w:w="70" w:type="dxa"/>
        </w:tblCellMar>
        <w:tblLook w:val="04A0" w:firstRow="1" w:lastRow="0" w:firstColumn="1" w:lastColumn="0" w:noHBand="0" w:noVBand="1"/>
      </w:tblPr>
      <w:tblGrid>
        <w:gridCol w:w="1118"/>
        <w:gridCol w:w="1269"/>
        <w:gridCol w:w="5874"/>
        <w:gridCol w:w="2819"/>
        <w:gridCol w:w="2377"/>
      </w:tblGrid>
      <w:tr w:rsidR="00B25045" w:rsidRPr="00B25045" w14:paraId="6349472C" w14:textId="77777777" w:rsidTr="00B25045">
        <w:trPr>
          <w:cantSplit/>
          <w:trHeight w:val="315"/>
          <w:tblHeader/>
        </w:trPr>
        <w:tc>
          <w:tcPr>
            <w:tcW w:w="13617" w:type="dxa"/>
            <w:gridSpan w:val="5"/>
            <w:tcBorders>
              <w:top w:val="single" w:sz="8" w:space="0" w:color="auto"/>
              <w:left w:val="single" w:sz="8" w:space="0" w:color="auto"/>
              <w:bottom w:val="single" w:sz="8" w:space="0" w:color="auto"/>
              <w:right w:val="single" w:sz="8" w:space="0" w:color="000000"/>
            </w:tcBorders>
            <w:shd w:val="clear" w:color="000000" w:fill="C6D9F1"/>
            <w:vAlign w:val="center"/>
            <w:hideMark/>
          </w:tcPr>
          <w:p w14:paraId="4B24F148" w14:textId="77777777" w:rsidR="00B25045" w:rsidRPr="00B25045" w:rsidRDefault="00B25045" w:rsidP="00B25045">
            <w:pPr>
              <w:spacing w:after="0"/>
              <w:jc w:val="left"/>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Komodita K5 - Digitalizace dokumentů</w:t>
            </w:r>
          </w:p>
        </w:tc>
      </w:tr>
      <w:tr w:rsidR="00B25045" w:rsidRPr="00B25045" w14:paraId="4E412EDE" w14:textId="77777777" w:rsidTr="00B25045">
        <w:trPr>
          <w:trHeight w:val="300"/>
        </w:trPr>
        <w:tc>
          <w:tcPr>
            <w:tcW w:w="1124" w:type="dxa"/>
            <w:vMerge w:val="restart"/>
            <w:tcBorders>
              <w:top w:val="nil"/>
              <w:left w:val="single" w:sz="8" w:space="0" w:color="auto"/>
              <w:bottom w:val="single" w:sz="8" w:space="0" w:color="000000"/>
              <w:right w:val="single" w:sz="4" w:space="0" w:color="auto"/>
            </w:tcBorders>
            <w:shd w:val="clear" w:color="000000" w:fill="F2F2F2"/>
            <w:vAlign w:val="center"/>
            <w:hideMark/>
          </w:tcPr>
          <w:p w14:paraId="0D3C5208" w14:textId="77777777" w:rsidR="00B25045" w:rsidRPr="00B25045" w:rsidRDefault="00B25045" w:rsidP="00B25045">
            <w:pPr>
              <w:spacing w:after="0"/>
              <w:jc w:val="center"/>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Část</w:t>
            </w:r>
          </w:p>
        </w:tc>
        <w:tc>
          <w:tcPr>
            <w:tcW w:w="1276"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5E23B7B9" w14:textId="77777777" w:rsidR="00B25045" w:rsidRPr="00B25045" w:rsidRDefault="00B25045" w:rsidP="00B25045">
            <w:pPr>
              <w:spacing w:after="0"/>
              <w:jc w:val="center"/>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Parametr</w:t>
            </w:r>
          </w:p>
        </w:tc>
        <w:tc>
          <w:tcPr>
            <w:tcW w:w="5958"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1B4C249A" w14:textId="77777777" w:rsidR="00B25045" w:rsidRPr="00B25045" w:rsidRDefault="00B25045" w:rsidP="00B25045">
            <w:pPr>
              <w:spacing w:after="0"/>
              <w:jc w:val="center"/>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Popis povinného parametru</w:t>
            </w:r>
          </w:p>
        </w:tc>
        <w:tc>
          <w:tcPr>
            <w:tcW w:w="2854" w:type="dxa"/>
            <w:vMerge w:val="restart"/>
            <w:tcBorders>
              <w:top w:val="nil"/>
              <w:left w:val="single" w:sz="4" w:space="0" w:color="auto"/>
              <w:bottom w:val="single" w:sz="8" w:space="0" w:color="000000"/>
              <w:right w:val="single" w:sz="4" w:space="0" w:color="auto"/>
            </w:tcBorders>
            <w:shd w:val="clear" w:color="000000" w:fill="F2F2F2"/>
            <w:vAlign w:val="center"/>
            <w:hideMark/>
          </w:tcPr>
          <w:p w14:paraId="5324ED1A" w14:textId="77777777" w:rsidR="00B25045" w:rsidRPr="00B25045" w:rsidRDefault="00B25045" w:rsidP="00B25045">
            <w:pPr>
              <w:spacing w:after="0"/>
              <w:jc w:val="center"/>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Uchazeč popíše způsob naplnění tohoto povinného parametru včetně značkové specifikace nabízených dodávek</w:t>
            </w:r>
          </w:p>
        </w:tc>
        <w:tc>
          <w:tcPr>
            <w:tcW w:w="2405" w:type="dxa"/>
            <w:vMerge w:val="restart"/>
            <w:tcBorders>
              <w:top w:val="nil"/>
              <w:left w:val="single" w:sz="4" w:space="0" w:color="auto"/>
              <w:bottom w:val="single" w:sz="8" w:space="0" w:color="000000"/>
              <w:right w:val="single" w:sz="8" w:space="0" w:color="auto"/>
            </w:tcBorders>
            <w:shd w:val="clear" w:color="000000" w:fill="F2F2F2"/>
            <w:vAlign w:val="center"/>
            <w:hideMark/>
          </w:tcPr>
          <w:p w14:paraId="4AA8F163" w14:textId="77777777" w:rsidR="00B25045" w:rsidRPr="00B25045" w:rsidRDefault="00B25045" w:rsidP="00B25045">
            <w:pPr>
              <w:spacing w:after="0"/>
              <w:jc w:val="center"/>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Uchazeč uvede odkaz na přiloženou část nabídky, kde je možné ověřit naplnění parametru</w:t>
            </w:r>
          </w:p>
        </w:tc>
      </w:tr>
      <w:tr w:rsidR="00B25045" w:rsidRPr="00B25045" w14:paraId="238BBBA3" w14:textId="77777777" w:rsidTr="00B25045">
        <w:trPr>
          <w:trHeight w:val="315"/>
        </w:trPr>
        <w:tc>
          <w:tcPr>
            <w:tcW w:w="1124" w:type="dxa"/>
            <w:vMerge/>
            <w:tcBorders>
              <w:top w:val="nil"/>
              <w:left w:val="single" w:sz="8" w:space="0" w:color="auto"/>
              <w:bottom w:val="single" w:sz="8" w:space="0" w:color="000000"/>
              <w:right w:val="single" w:sz="4" w:space="0" w:color="auto"/>
            </w:tcBorders>
            <w:vAlign w:val="center"/>
            <w:hideMark/>
          </w:tcPr>
          <w:p w14:paraId="35AFD490"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vMerge/>
            <w:tcBorders>
              <w:top w:val="nil"/>
              <w:left w:val="single" w:sz="4" w:space="0" w:color="auto"/>
              <w:bottom w:val="single" w:sz="8" w:space="0" w:color="000000"/>
              <w:right w:val="single" w:sz="4" w:space="0" w:color="auto"/>
            </w:tcBorders>
            <w:vAlign w:val="center"/>
            <w:hideMark/>
          </w:tcPr>
          <w:p w14:paraId="357A70F4"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5958" w:type="dxa"/>
            <w:vMerge/>
            <w:tcBorders>
              <w:top w:val="nil"/>
              <w:left w:val="single" w:sz="4" w:space="0" w:color="auto"/>
              <w:bottom w:val="single" w:sz="8" w:space="0" w:color="000000"/>
              <w:right w:val="single" w:sz="4" w:space="0" w:color="auto"/>
            </w:tcBorders>
            <w:vAlign w:val="center"/>
            <w:hideMark/>
          </w:tcPr>
          <w:p w14:paraId="354C15E9"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2854" w:type="dxa"/>
            <w:vMerge/>
            <w:tcBorders>
              <w:top w:val="nil"/>
              <w:left w:val="single" w:sz="4" w:space="0" w:color="auto"/>
              <w:bottom w:val="single" w:sz="8" w:space="0" w:color="000000"/>
              <w:right w:val="single" w:sz="4" w:space="0" w:color="auto"/>
            </w:tcBorders>
            <w:vAlign w:val="center"/>
            <w:hideMark/>
          </w:tcPr>
          <w:p w14:paraId="42F15A3F"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2405" w:type="dxa"/>
            <w:vMerge/>
            <w:tcBorders>
              <w:top w:val="nil"/>
              <w:left w:val="single" w:sz="4" w:space="0" w:color="auto"/>
              <w:bottom w:val="single" w:sz="8" w:space="0" w:color="000000"/>
              <w:right w:val="single" w:sz="8" w:space="0" w:color="auto"/>
            </w:tcBorders>
            <w:vAlign w:val="center"/>
            <w:hideMark/>
          </w:tcPr>
          <w:p w14:paraId="401FEB1E" w14:textId="77777777" w:rsidR="00B25045" w:rsidRPr="00B25045" w:rsidRDefault="00B25045" w:rsidP="00B25045">
            <w:pPr>
              <w:spacing w:after="0"/>
              <w:jc w:val="left"/>
              <w:rPr>
                <w:rFonts w:ascii="Calibri" w:eastAsia="Times New Roman" w:hAnsi="Calibri"/>
                <w:b/>
                <w:bCs/>
                <w:color w:val="000000"/>
                <w:sz w:val="16"/>
                <w:szCs w:val="16"/>
                <w:lang w:eastAsia="cs-CZ"/>
              </w:rPr>
            </w:pPr>
          </w:p>
        </w:tc>
      </w:tr>
      <w:tr w:rsidR="00B25045" w:rsidRPr="00B25045" w14:paraId="3B2991BC" w14:textId="77777777" w:rsidTr="00B25045">
        <w:trPr>
          <w:trHeight w:val="300"/>
        </w:trPr>
        <w:tc>
          <w:tcPr>
            <w:tcW w:w="1124" w:type="dxa"/>
            <w:vMerge w:val="restart"/>
            <w:tcBorders>
              <w:top w:val="single" w:sz="8" w:space="0" w:color="auto"/>
              <w:left w:val="single" w:sz="8" w:space="0" w:color="auto"/>
              <w:bottom w:val="nil"/>
              <w:right w:val="single" w:sz="8" w:space="0" w:color="auto"/>
            </w:tcBorders>
            <w:shd w:val="clear" w:color="auto" w:fill="auto"/>
            <w:vAlign w:val="center"/>
            <w:hideMark/>
          </w:tcPr>
          <w:p w14:paraId="42AA189B" w14:textId="77777777" w:rsidR="00B25045" w:rsidRPr="00B25045" w:rsidRDefault="00B25045" w:rsidP="00B25045">
            <w:pPr>
              <w:spacing w:after="0"/>
              <w:jc w:val="center"/>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Skener</w:t>
            </w:r>
          </w:p>
        </w:tc>
        <w:tc>
          <w:tcPr>
            <w:tcW w:w="1276" w:type="dxa"/>
            <w:tcBorders>
              <w:top w:val="single" w:sz="4" w:space="0" w:color="auto"/>
              <w:left w:val="nil"/>
              <w:bottom w:val="single" w:sz="4" w:space="0" w:color="auto"/>
              <w:right w:val="single" w:sz="8" w:space="0" w:color="auto"/>
            </w:tcBorders>
            <w:shd w:val="clear" w:color="auto" w:fill="auto"/>
            <w:vAlign w:val="center"/>
            <w:hideMark/>
          </w:tcPr>
          <w:p w14:paraId="127EDB96"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Provedení</w:t>
            </w:r>
          </w:p>
        </w:tc>
        <w:tc>
          <w:tcPr>
            <w:tcW w:w="5958" w:type="dxa"/>
            <w:tcBorders>
              <w:top w:val="single" w:sz="8" w:space="0" w:color="auto"/>
              <w:left w:val="nil"/>
              <w:bottom w:val="nil"/>
              <w:right w:val="nil"/>
            </w:tcBorders>
            <w:shd w:val="clear" w:color="auto" w:fill="auto"/>
            <w:vAlign w:val="bottom"/>
            <w:hideMark/>
          </w:tcPr>
          <w:p w14:paraId="27BAC4D6"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A4, automatický oboustranný podavač</w:t>
            </w:r>
          </w:p>
        </w:tc>
        <w:tc>
          <w:tcPr>
            <w:tcW w:w="2854" w:type="dxa"/>
            <w:tcBorders>
              <w:top w:val="nil"/>
              <w:left w:val="single" w:sz="4" w:space="0" w:color="auto"/>
              <w:bottom w:val="single" w:sz="4" w:space="0" w:color="auto"/>
              <w:right w:val="single" w:sz="4" w:space="0" w:color="auto"/>
            </w:tcBorders>
            <w:shd w:val="clear" w:color="auto" w:fill="auto"/>
            <w:vAlign w:val="bottom"/>
            <w:hideMark/>
          </w:tcPr>
          <w:p w14:paraId="431E1A30"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74DF721C"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02BABA57" w14:textId="77777777" w:rsidTr="00B25045">
        <w:trPr>
          <w:trHeight w:val="300"/>
        </w:trPr>
        <w:tc>
          <w:tcPr>
            <w:tcW w:w="1124" w:type="dxa"/>
            <w:vMerge/>
            <w:tcBorders>
              <w:top w:val="single" w:sz="8" w:space="0" w:color="auto"/>
              <w:left w:val="single" w:sz="8" w:space="0" w:color="auto"/>
              <w:bottom w:val="nil"/>
              <w:right w:val="single" w:sz="8" w:space="0" w:color="auto"/>
            </w:tcBorders>
            <w:vAlign w:val="center"/>
            <w:hideMark/>
          </w:tcPr>
          <w:p w14:paraId="44C8B2FC"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628757A5"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Formáty</w:t>
            </w:r>
          </w:p>
        </w:tc>
        <w:tc>
          <w:tcPr>
            <w:tcW w:w="5958" w:type="dxa"/>
            <w:tcBorders>
              <w:top w:val="single" w:sz="4" w:space="0" w:color="auto"/>
              <w:left w:val="nil"/>
              <w:bottom w:val="single" w:sz="4" w:space="0" w:color="auto"/>
              <w:right w:val="single" w:sz="4" w:space="0" w:color="auto"/>
            </w:tcBorders>
            <w:shd w:val="clear" w:color="auto" w:fill="auto"/>
            <w:vAlign w:val="center"/>
            <w:hideMark/>
          </w:tcPr>
          <w:p w14:paraId="7D3A3692" w14:textId="77777777" w:rsidR="00B25045" w:rsidRPr="00B25045" w:rsidRDefault="00B25045" w:rsidP="00B25045">
            <w:pPr>
              <w:spacing w:after="0"/>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TIFF G4, MTIFF GR, komprimovaný LZW i nekomprimovaný</w:t>
            </w:r>
          </w:p>
        </w:tc>
        <w:tc>
          <w:tcPr>
            <w:tcW w:w="2854" w:type="dxa"/>
            <w:tcBorders>
              <w:top w:val="nil"/>
              <w:left w:val="nil"/>
              <w:bottom w:val="single" w:sz="4" w:space="0" w:color="auto"/>
              <w:right w:val="single" w:sz="4" w:space="0" w:color="auto"/>
            </w:tcBorders>
            <w:shd w:val="clear" w:color="auto" w:fill="auto"/>
            <w:vAlign w:val="bottom"/>
            <w:hideMark/>
          </w:tcPr>
          <w:p w14:paraId="3D4C72E1"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38DFF4AF"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1BD485DF" w14:textId="77777777" w:rsidTr="00B25045">
        <w:trPr>
          <w:trHeight w:val="300"/>
        </w:trPr>
        <w:tc>
          <w:tcPr>
            <w:tcW w:w="1124" w:type="dxa"/>
            <w:vMerge/>
            <w:tcBorders>
              <w:top w:val="single" w:sz="8" w:space="0" w:color="auto"/>
              <w:left w:val="single" w:sz="8" w:space="0" w:color="auto"/>
              <w:bottom w:val="nil"/>
              <w:right w:val="single" w:sz="8" w:space="0" w:color="auto"/>
            </w:tcBorders>
            <w:vAlign w:val="center"/>
            <w:hideMark/>
          </w:tcPr>
          <w:p w14:paraId="508B4A23"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AA7F2D8"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Rozlišení</w:t>
            </w:r>
          </w:p>
        </w:tc>
        <w:tc>
          <w:tcPr>
            <w:tcW w:w="5958" w:type="dxa"/>
            <w:tcBorders>
              <w:top w:val="nil"/>
              <w:left w:val="nil"/>
              <w:bottom w:val="single" w:sz="4" w:space="0" w:color="auto"/>
              <w:right w:val="single" w:sz="4" w:space="0" w:color="auto"/>
            </w:tcBorders>
            <w:shd w:val="clear" w:color="auto" w:fill="auto"/>
            <w:vAlign w:val="center"/>
            <w:hideMark/>
          </w:tcPr>
          <w:p w14:paraId="681BEF94" w14:textId="2BD8D10A" w:rsidR="00B25045" w:rsidRPr="00B25045" w:rsidRDefault="00475396" w:rsidP="00B25045">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B25045" w:rsidRPr="00B25045">
              <w:rPr>
                <w:rFonts w:ascii="Calibri" w:eastAsia="Times New Roman" w:hAnsi="Calibri"/>
                <w:color w:val="000000"/>
                <w:sz w:val="16"/>
                <w:szCs w:val="16"/>
                <w:lang w:eastAsia="cs-CZ"/>
              </w:rPr>
              <w:t>in. 300 dpi</w:t>
            </w:r>
          </w:p>
        </w:tc>
        <w:tc>
          <w:tcPr>
            <w:tcW w:w="2854" w:type="dxa"/>
            <w:tcBorders>
              <w:top w:val="nil"/>
              <w:left w:val="nil"/>
              <w:bottom w:val="single" w:sz="4" w:space="0" w:color="auto"/>
              <w:right w:val="single" w:sz="4" w:space="0" w:color="auto"/>
            </w:tcBorders>
            <w:shd w:val="clear" w:color="auto" w:fill="auto"/>
            <w:vAlign w:val="bottom"/>
            <w:hideMark/>
          </w:tcPr>
          <w:p w14:paraId="12C2F9EE"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5CFAC7EC"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2F9E1F45" w14:textId="77777777" w:rsidTr="00B25045">
        <w:trPr>
          <w:trHeight w:val="300"/>
        </w:trPr>
        <w:tc>
          <w:tcPr>
            <w:tcW w:w="1124" w:type="dxa"/>
            <w:vMerge/>
            <w:tcBorders>
              <w:top w:val="single" w:sz="8" w:space="0" w:color="auto"/>
              <w:left w:val="single" w:sz="8" w:space="0" w:color="auto"/>
              <w:bottom w:val="nil"/>
              <w:right w:val="single" w:sz="8" w:space="0" w:color="auto"/>
            </w:tcBorders>
            <w:vAlign w:val="center"/>
            <w:hideMark/>
          </w:tcPr>
          <w:p w14:paraId="43208D62"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2DCCC7B"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Ukládání</w:t>
            </w:r>
          </w:p>
        </w:tc>
        <w:tc>
          <w:tcPr>
            <w:tcW w:w="5958" w:type="dxa"/>
            <w:tcBorders>
              <w:top w:val="nil"/>
              <w:left w:val="nil"/>
              <w:bottom w:val="single" w:sz="4" w:space="0" w:color="auto"/>
              <w:right w:val="single" w:sz="4" w:space="0" w:color="auto"/>
            </w:tcBorders>
            <w:shd w:val="clear" w:color="auto" w:fill="auto"/>
            <w:vAlign w:val="center"/>
            <w:hideMark/>
          </w:tcPr>
          <w:p w14:paraId="7B9D6964" w14:textId="77777777" w:rsidR="00B25045" w:rsidRPr="00B25045" w:rsidRDefault="00B25045" w:rsidP="00B25045">
            <w:pPr>
              <w:spacing w:after="0"/>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Ukládání vytvořených soubory do přednastaveného adresáře v síti</w:t>
            </w:r>
          </w:p>
        </w:tc>
        <w:tc>
          <w:tcPr>
            <w:tcW w:w="2854" w:type="dxa"/>
            <w:tcBorders>
              <w:top w:val="nil"/>
              <w:left w:val="nil"/>
              <w:bottom w:val="single" w:sz="4" w:space="0" w:color="auto"/>
              <w:right w:val="single" w:sz="4" w:space="0" w:color="auto"/>
            </w:tcBorders>
            <w:shd w:val="clear" w:color="auto" w:fill="auto"/>
            <w:vAlign w:val="bottom"/>
            <w:hideMark/>
          </w:tcPr>
          <w:p w14:paraId="60E111F2"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357A4B0E"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6FC891ED" w14:textId="77777777" w:rsidTr="00B25045">
        <w:trPr>
          <w:trHeight w:val="315"/>
        </w:trPr>
        <w:tc>
          <w:tcPr>
            <w:tcW w:w="1124" w:type="dxa"/>
            <w:vMerge/>
            <w:tcBorders>
              <w:top w:val="single" w:sz="8" w:space="0" w:color="auto"/>
              <w:left w:val="single" w:sz="8" w:space="0" w:color="auto"/>
              <w:bottom w:val="nil"/>
              <w:right w:val="single" w:sz="8" w:space="0" w:color="auto"/>
            </w:tcBorders>
            <w:vAlign w:val="center"/>
            <w:hideMark/>
          </w:tcPr>
          <w:p w14:paraId="602262F8"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223BBA2F"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Záruka</w:t>
            </w:r>
          </w:p>
        </w:tc>
        <w:tc>
          <w:tcPr>
            <w:tcW w:w="5958" w:type="dxa"/>
            <w:tcBorders>
              <w:top w:val="nil"/>
              <w:left w:val="nil"/>
              <w:bottom w:val="single" w:sz="4" w:space="0" w:color="auto"/>
              <w:right w:val="single" w:sz="4" w:space="0" w:color="auto"/>
            </w:tcBorders>
            <w:shd w:val="clear" w:color="auto" w:fill="auto"/>
            <w:vAlign w:val="center"/>
            <w:hideMark/>
          </w:tcPr>
          <w:p w14:paraId="68625ABD" w14:textId="77777777" w:rsidR="00B25045" w:rsidRPr="00B25045" w:rsidRDefault="00B25045" w:rsidP="00B25045">
            <w:pPr>
              <w:spacing w:after="0"/>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min. 24 měsíců</w:t>
            </w:r>
          </w:p>
        </w:tc>
        <w:tc>
          <w:tcPr>
            <w:tcW w:w="2854" w:type="dxa"/>
            <w:tcBorders>
              <w:top w:val="nil"/>
              <w:left w:val="nil"/>
              <w:bottom w:val="single" w:sz="4" w:space="0" w:color="auto"/>
              <w:right w:val="single" w:sz="4" w:space="0" w:color="auto"/>
            </w:tcBorders>
            <w:shd w:val="clear" w:color="auto" w:fill="auto"/>
            <w:vAlign w:val="bottom"/>
            <w:hideMark/>
          </w:tcPr>
          <w:p w14:paraId="203FF14F"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501925B6"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617429D3" w14:textId="77777777" w:rsidTr="00B25045">
        <w:trPr>
          <w:trHeight w:val="675"/>
        </w:trPr>
        <w:tc>
          <w:tcPr>
            <w:tcW w:w="11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C9336FE" w14:textId="77777777" w:rsidR="00B25045" w:rsidRPr="00B25045" w:rsidRDefault="00B25045" w:rsidP="00B25045">
            <w:pPr>
              <w:spacing w:after="0"/>
              <w:jc w:val="center"/>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Software</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36B19EE4"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Nastavení parametrů skenování</w:t>
            </w:r>
          </w:p>
        </w:tc>
        <w:tc>
          <w:tcPr>
            <w:tcW w:w="5958" w:type="dxa"/>
            <w:tcBorders>
              <w:top w:val="single" w:sz="8" w:space="0" w:color="auto"/>
              <w:left w:val="nil"/>
              <w:bottom w:val="single" w:sz="4" w:space="0" w:color="auto"/>
              <w:right w:val="single" w:sz="4" w:space="0" w:color="auto"/>
            </w:tcBorders>
            <w:shd w:val="clear" w:color="auto" w:fill="auto"/>
            <w:vAlign w:val="center"/>
            <w:hideMark/>
          </w:tcPr>
          <w:p w14:paraId="57296AF7" w14:textId="77777777" w:rsidR="00B25045" w:rsidRPr="00B25045" w:rsidRDefault="00B25045" w:rsidP="00B25045">
            <w:pPr>
              <w:spacing w:after="0"/>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Formát, Barva/ČB, Orientace, Rozlišení, Simplex/Duplex</w:t>
            </w:r>
          </w:p>
        </w:tc>
        <w:tc>
          <w:tcPr>
            <w:tcW w:w="2854" w:type="dxa"/>
            <w:tcBorders>
              <w:top w:val="single" w:sz="8" w:space="0" w:color="auto"/>
              <w:left w:val="nil"/>
              <w:bottom w:val="single" w:sz="4" w:space="0" w:color="auto"/>
              <w:right w:val="single" w:sz="4" w:space="0" w:color="auto"/>
            </w:tcBorders>
            <w:shd w:val="clear" w:color="auto" w:fill="auto"/>
            <w:vAlign w:val="bottom"/>
            <w:hideMark/>
          </w:tcPr>
          <w:p w14:paraId="6AF97346"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single" w:sz="8" w:space="0" w:color="auto"/>
              <w:left w:val="nil"/>
              <w:bottom w:val="single" w:sz="4" w:space="0" w:color="auto"/>
              <w:right w:val="single" w:sz="8" w:space="0" w:color="auto"/>
            </w:tcBorders>
            <w:shd w:val="clear" w:color="auto" w:fill="auto"/>
            <w:vAlign w:val="bottom"/>
            <w:hideMark/>
          </w:tcPr>
          <w:p w14:paraId="7EC833B2"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3E769107" w14:textId="77777777" w:rsidTr="00B25045">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0756EBA"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4259EB3"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Ukládání dat</w:t>
            </w:r>
          </w:p>
        </w:tc>
        <w:tc>
          <w:tcPr>
            <w:tcW w:w="5958" w:type="dxa"/>
            <w:tcBorders>
              <w:top w:val="nil"/>
              <w:left w:val="nil"/>
              <w:bottom w:val="single" w:sz="4" w:space="0" w:color="auto"/>
              <w:right w:val="single" w:sz="4" w:space="0" w:color="auto"/>
            </w:tcBorders>
            <w:shd w:val="clear" w:color="auto" w:fill="auto"/>
            <w:vAlign w:val="center"/>
            <w:hideMark/>
          </w:tcPr>
          <w:p w14:paraId="62461DA7" w14:textId="77777777" w:rsidR="00B25045" w:rsidRPr="00B25045" w:rsidRDefault="00B25045" w:rsidP="00B25045">
            <w:pPr>
              <w:spacing w:after="0"/>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Cílové složky, cílové E-mailové adresy, databáze, DMS, informační systém</w:t>
            </w:r>
          </w:p>
        </w:tc>
        <w:tc>
          <w:tcPr>
            <w:tcW w:w="2854" w:type="dxa"/>
            <w:tcBorders>
              <w:top w:val="nil"/>
              <w:left w:val="nil"/>
              <w:bottom w:val="single" w:sz="4" w:space="0" w:color="auto"/>
              <w:right w:val="single" w:sz="4" w:space="0" w:color="auto"/>
            </w:tcBorders>
            <w:shd w:val="clear" w:color="auto" w:fill="auto"/>
            <w:vAlign w:val="bottom"/>
            <w:hideMark/>
          </w:tcPr>
          <w:p w14:paraId="36EC8DC6"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2C07B34E"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6D962533" w14:textId="77777777" w:rsidTr="00B25045">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65A67D47"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3F20EE6D"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OCR</w:t>
            </w:r>
          </w:p>
        </w:tc>
        <w:tc>
          <w:tcPr>
            <w:tcW w:w="5958" w:type="dxa"/>
            <w:tcBorders>
              <w:top w:val="nil"/>
              <w:left w:val="nil"/>
              <w:bottom w:val="single" w:sz="4" w:space="0" w:color="auto"/>
              <w:right w:val="single" w:sz="4" w:space="0" w:color="auto"/>
            </w:tcBorders>
            <w:shd w:val="clear" w:color="auto" w:fill="auto"/>
            <w:vAlign w:val="center"/>
            <w:hideMark/>
          </w:tcPr>
          <w:p w14:paraId="6D679912" w14:textId="77777777" w:rsidR="00B25045" w:rsidRPr="00B25045" w:rsidRDefault="00B25045" w:rsidP="00B25045">
            <w:pPr>
              <w:spacing w:after="0"/>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Zónové OCR,  text či čárový kód načtený z vybraného místa v dokumentu</w:t>
            </w:r>
          </w:p>
        </w:tc>
        <w:tc>
          <w:tcPr>
            <w:tcW w:w="2854" w:type="dxa"/>
            <w:tcBorders>
              <w:top w:val="nil"/>
              <w:left w:val="nil"/>
              <w:bottom w:val="single" w:sz="4" w:space="0" w:color="auto"/>
              <w:right w:val="single" w:sz="4" w:space="0" w:color="auto"/>
            </w:tcBorders>
            <w:shd w:val="clear" w:color="auto" w:fill="auto"/>
            <w:vAlign w:val="bottom"/>
            <w:hideMark/>
          </w:tcPr>
          <w:p w14:paraId="3A6840B3"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4C86E1ED"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555A09DD" w14:textId="77777777" w:rsidTr="00B25045">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41E0925"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7F518E67"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Jazyková podpora</w:t>
            </w:r>
          </w:p>
        </w:tc>
        <w:tc>
          <w:tcPr>
            <w:tcW w:w="5958" w:type="dxa"/>
            <w:tcBorders>
              <w:top w:val="nil"/>
              <w:left w:val="nil"/>
              <w:bottom w:val="single" w:sz="4" w:space="0" w:color="auto"/>
              <w:right w:val="single" w:sz="4" w:space="0" w:color="auto"/>
            </w:tcBorders>
            <w:shd w:val="clear" w:color="auto" w:fill="auto"/>
            <w:vAlign w:val="center"/>
            <w:hideMark/>
          </w:tcPr>
          <w:p w14:paraId="76D10DEF" w14:textId="78FD0B1A" w:rsidR="00B25045" w:rsidRPr="00B25045" w:rsidRDefault="00B25045" w:rsidP="00B25045">
            <w:pPr>
              <w:spacing w:after="0"/>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P</w:t>
            </w:r>
            <w:r w:rsidR="00475396">
              <w:rPr>
                <w:rFonts w:ascii="Calibri" w:eastAsia="Times New Roman" w:hAnsi="Calibri"/>
                <w:color w:val="000000"/>
                <w:sz w:val="16"/>
                <w:szCs w:val="16"/>
                <w:lang w:eastAsia="cs-CZ"/>
              </w:rPr>
              <w:t>odpora češtiny a dalších obvykl</w:t>
            </w:r>
            <w:r w:rsidRPr="00B25045">
              <w:rPr>
                <w:rFonts w:ascii="Calibri" w:eastAsia="Times New Roman" w:hAnsi="Calibri"/>
                <w:color w:val="000000"/>
                <w:sz w:val="16"/>
                <w:szCs w:val="16"/>
                <w:lang w:eastAsia="cs-CZ"/>
              </w:rPr>
              <w:t xml:space="preserve">ých jazyků </w:t>
            </w:r>
            <w:r w:rsidR="00134EBC">
              <w:rPr>
                <w:rFonts w:ascii="Calibri" w:eastAsia="Times New Roman" w:hAnsi="Calibri"/>
                <w:color w:val="000000"/>
                <w:sz w:val="16"/>
                <w:szCs w:val="16"/>
                <w:lang w:eastAsia="cs-CZ"/>
              </w:rPr>
              <w:t>(angličtina, němčina, polština</w:t>
            </w:r>
            <w:r w:rsidRPr="00B25045">
              <w:rPr>
                <w:rFonts w:ascii="Calibri" w:eastAsia="Times New Roman" w:hAnsi="Calibri"/>
                <w:color w:val="000000"/>
                <w:sz w:val="16"/>
                <w:szCs w:val="16"/>
                <w:lang w:eastAsia="cs-CZ"/>
              </w:rPr>
              <w:t>)</w:t>
            </w:r>
          </w:p>
        </w:tc>
        <w:tc>
          <w:tcPr>
            <w:tcW w:w="2854" w:type="dxa"/>
            <w:tcBorders>
              <w:top w:val="nil"/>
              <w:left w:val="nil"/>
              <w:bottom w:val="single" w:sz="4" w:space="0" w:color="auto"/>
              <w:right w:val="single" w:sz="4" w:space="0" w:color="auto"/>
            </w:tcBorders>
            <w:shd w:val="clear" w:color="auto" w:fill="auto"/>
            <w:vAlign w:val="bottom"/>
            <w:hideMark/>
          </w:tcPr>
          <w:p w14:paraId="4D10883A"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0E470366"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352314E6" w14:textId="77777777" w:rsidTr="00B25045">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7A394AC2"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2F5EEC3"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Formáty dokumentů</w:t>
            </w:r>
          </w:p>
        </w:tc>
        <w:tc>
          <w:tcPr>
            <w:tcW w:w="5958" w:type="dxa"/>
            <w:tcBorders>
              <w:top w:val="nil"/>
              <w:left w:val="nil"/>
              <w:bottom w:val="single" w:sz="4" w:space="0" w:color="auto"/>
              <w:right w:val="single" w:sz="4" w:space="0" w:color="auto"/>
            </w:tcBorders>
            <w:shd w:val="clear" w:color="auto" w:fill="auto"/>
            <w:vAlign w:val="center"/>
            <w:hideMark/>
          </w:tcPr>
          <w:p w14:paraId="2FD5731A" w14:textId="3554CEF3" w:rsidR="00B25045" w:rsidRPr="00B25045" w:rsidRDefault="00B25045" w:rsidP="00B25045">
            <w:pPr>
              <w:spacing w:after="0"/>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xml:space="preserve"> Word, Excel, </w:t>
            </w:r>
            <w:proofErr w:type="spellStart"/>
            <w:r w:rsidRPr="00B25045">
              <w:rPr>
                <w:rFonts w:ascii="Calibri" w:eastAsia="Times New Roman" w:hAnsi="Calibri"/>
                <w:color w:val="000000"/>
                <w:sz w:val="16"/>
                <w:szCs w:val="16"/>
                <w:lang w:eastAsia="cs-CZ"/>
              </w:rPr>
              <w:t>prohledáv</w:t>
            </w:r>
            <w:r w:rsidR="00134EBC">
              <w:rPr>
                <w:rFonts w:ascii="Calibri" w:eastAsia="Times New Roman" w:hAnsi="Calibri"/>
                <w:color w:val="000000"/>
                <w:sz w:val="16"/>
                <w:szCs w:val="16"/>
                <w:lang w:eastAsia="cs-CZ"/>
              </w:rPr>
              <w:t>atelné</w:t>
            </w:r>
            <w:proofErr w:type="spellEnd"/>
            <w:r w:rsidR="00134EBC">
              <w:rPr>
                <w:rFonts w:ascii="Calibri" w:eastAsia="Times New Roman" w:hAnsi="Calibri"/>
                <w:color w:val="000000"/>
                <w:sz w:val="16"/>
                <w:szCs w:val="16"/>
                <w:lang w:eastAsia="cs-CZ"/>
              </w:rPr>
              <w:t xml:space="preserve"> PDF, PDF/A, </w:t>
            </w:r>
            <w:proofErr w:type="spellStart"/>
            <w:r w:rsidR="00134EBC">
              <w:rPr>
                <w:rFonts w:ascii="Calibri" w:eastAsia="Times New Roman" w:hAnsi="Calibri"/>
                <w:color w:val="000000"/>
                <w:sz w:val="16"/>
                <w:szCs w:val="16"/>
                <w:lang w:eastAsia="cs-CZ"/>
              </w:rPr>
              <w:t>OpenOffice</w:t>
            </w:r>
            <w:proofErr w:type="spellEnd"/>
          </w:p>
        </w:tc>
        <w:tc>
          <w:tcPr>
            <w:tcW w:w="2854" w:type="dxa"/>
            <w:tcBorders>
              <w:top w:val="nil"/>
              <w:left w:val="nil"/>
              <w:bottom w:val="single" w:sz="4" w:space="0" w:color="auto"/>
              <w:right w:val="single" w:sz="4" w:space="0" w:color="auto"/>
            </w:tcBorders>
            <w:shd w:val="clear" w:color="auto" w:fill="auto"/>
            <w:vAlign w:val="bottom"/>
            <w:hideMark/>
          </w:tcPr>
          <w:p w14:paraId="2AAD7222"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5B0049FB"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1F0C97FC" w14:textId="77777777" w:rsidTr="00B25045">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1DE598EB"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C282F4A" w14:textId="77777777" w:rsidR="00B25045" w:rsidRPr="00B25045" w:rsidRDefault="00B25045" w:rsidP="00B25045">
            <w:pPr>
              <w:spacing w:after="0"/>
              <w:jc w:val="left"/>
              <w:rPr>
                <w:rFonts w:ascii="Calibri" w:eastAsia="Times New Roman" w:hAnsi="Calibri"/>
                <w:color w:val="000000"/>
                <w:sz w:val="16"/>
                <w:szCs w:val="16"/>
                <w:lang w:eastAsia="cs-CZ"/>
              </w:rPr>
            </w:pPr>
            <w:proofErr w:type="spellStart"/>
            <w:r w:rsidRPr="00B25045">
              <w:rPr>
                <w:rFonts w:ascii="Calibri" w:eastAsia="Times New Roman" w:hAnsi="Calibri"/>
                <w:color w:val="000000"/>
                <w:sz w:val="16"/>
                <w:szCs w:val="16"/>
                <w:lang w:eastAsia="cs-CZ"/>
              </w:rPr>
              <w:t>Metadata</w:t>
            </w:r>
            <w:proofErr w:type="spellEnd"/>
          </w:p>
        </w:tc>
        <w:tc>
          <w:tcPr>
            <w:tcW w:w="5958" w:type="dxa"/>
            <w:tcBorders>
              <w:top w:val="nil"/>
              <w:left w:val="nil"/>
              <w:bottom w:val="single" w:sz="4" w:space="0" w:color="auto"/>
              <w:right w:val="single" w:sz="4" w:space="0" w:color="auto"/>
            </w:tcBorders>
            <w:shd w:val="clear" w:color="auto" w:fill="auto"/>
            <w:vAlign w:val="center"/>
            <w:hideMark/>
          </w:tcPr>
          <w:p w14:paraId="7CAADB08" w14:textId="7A72A6F9" w:rsidR="00B25045" w:rsidRPr="00B25045" w:rsidRDefault="00475396" w:rsidP="00B25045">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B25045" w:rsidRPr="00B25045">
              <w:rPr>
                <w:rFonts w:ascii="Calibri" w:eastAsia="Times New Roman" w:hAnsi="Calibri"/>
                <w:color w:val="000000"/>
                <w:sz w:val="16"/>
                <w:szCs w:val="16"/>
                <w:lang w:eastAsia="cs-CZ"/>
              </w:rPr>
              <w:t xml:space="preserve">ožnost využití a ukládání </w:t>
            </w:r>
            <w:proofErr w:type="spellStart"/>
            <w:r w:rsidR="00B25045" w:rsidRPr="00B25045">
              <w:rPr>
                <w:rFonts w:ascii="Calibri" w:eastAsia="Times New Roman" w:hAnsi="Calibri"/>
                <w:color w:val="000000"/>
                <w:sz w:val="16"/>
                <w:szCs w:val="16"/>
                <w:lang w:eastAsia="cs-CZ"/>
              </w:rPr>
              <w:t>metadat</w:t>
            </w:r>
            <w:proofErr w:type="spellEnd"/>
            <w:r w:rsidR="00B25045" w:rsidRPr="00B25045">
              <w:rPr>
                <w:rFonts w:ascii="Calibri" w:eastAsia="Times New Roman" w:hAnsi="Calibri"/>
                <w:color w:val="000000"/>
                <w:sz w:val="16"/>
                <w:szCs w:val="16"/>
                <w:lang w:eastAsia="cs-CZ"/>
              </w:rPr>
              <w:t xml:space="preserve"> (data získaná skenováním či zadaná uživatelem)</w:t>
            </w:r>
          </w:p>
        </w:tc>
        <w:tc>
          <w:tcPr>
            <w:tcW w:w="2854" w:type="dxa"/>
            <w:tcBorders>
              <w:top w:val="nil"/>
              <w:left w:val="nil"/>
              <w:bottom w:val="single" w:sz="4" w:space="0" w:color="auto"/>
              <w:right w:val="single" w:sz="4" w:space="0" w:color="auto"/>
            </w:tcBorders>
            <w:shd w:val="clear" w:color="auto" w:fill="auto"/>
            <w:vAlign w:val="bottom"/>
            <w:hideMark/>
          </w:tcPr>
          <w:p w14:paraId="41A1C81A"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76867392"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092D7AAD" w14:textId="77777777" w:rsidTr="00B25045">
        <w:trPr>
          <w:trHeight w:val="30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412F6069"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51926905"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xml:space="preserve">Typy </w:t>
            </w:r>
            <w:proofErr w:type="spellStart"/>
            <w:r w:rsidRPr="00B25045">
              <w:rPr>
                <w:rFonts w:ascii="Calibri" w:eastAsia="Times New Roman" w:hAnsi="Calibri"/>
                <w:color w:val="000000"/>
                <w:sz w:val="16"/>
                <w:szCs w:val="16"/>
                <w:lang w:eastAsia="cs-CZ"/>
              </w:rPr>
              <w:t>metadat</w:t>
            </w:r>
            <w:proofErr w:type="spellEnd"/>
          </w:p>
        </w:tc>
        <w:tc>
          <w:tcPr>
            <w:tcW w:w="5958" w:type="dxa"/>
            <w:tcBorders>
              <w:top w:val="nil"/>
              <w:left w:val="nil"/>
              <w:bottom w:val="single" w:sz="4" w:space="0" w:color="auto"/>
              <w:right w:val="single" w:sz="4" w:space="0" w:color="auto"/>
            </w:tcBorders>
            <w:shd w:val="clear" w:color="auto" w:fill="auto"/>
            <w:vAlign w:val="center"/>
            <w:hideMark/>
          </w:tcPr>
          <w:p w14:paraId="78D3CC97" w14:textId="77777777" w:rsidR="00B25045" w:rsidRPr="00B25045" w:rsidRDefault="00B25045" w:rsidP="00B25045">
            <w:pPr>
              <w:spacing w:after="0"/>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IČO, čárový kód, číslo: faktury, smlouvy, zboží, datum</w:t>
            </w:r>
          </w:p>
        </w:tc>
        <w:tc>
          <w:tcPr>
            <w:tcW w:w="2854" w:type="dxa"/>
            <w:tcBorders>
              <w:top w:val="nil"/>
              <w:left w:val="nil"/>
              <w:bottom w:val="single" w:sz="4" w:space="0" w:color="auto"/>
              <w:right w:val="single" w:sz="4" w:space="0" w:color="auto"/>
            </w:tcBorders>
            <w:shd w:val="clear" w:color="auto" w:fill="auto"/>
            <w:vAlign w:val="bottom"/>
            <w:hideMark/>
          </w:tcPr>
          <w:p w14:paraId="705CACA5"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2E583672"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08DD6476" w14:textId="77777777" w:rsidTr="00B25045">
        <w:trPr>
          <w:trHeight w:val="450"/>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0C7E85C"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4" w:space="0" w:color="auto"/>
              <w:right w:val="single" w:sz="8" w:space="0" w:color="auto"/>
            </w:tcBorders>
            <w:shd w:val="clear" w:color="auto" w:fill="auto"/>
            <w:vAlign w:val="center"/>
            <w:hideMark/>
          </w:tcPr>
          <w:p w14:paraId="0029DD07"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xml:space="preserve">Použití </w:t>
            </w:r>
            <w:proofErr w:type="spellStart"/>
            <w:r w:rsidRPr="00B25045">
              <w:rPr>
                <w:rFonts w:ascii="Calibri" w:eastAsia="Times New Roman" w:hAnsi="Calibri"/>
                <w:color w:val="000000"/>
                <w:sz w:val="16"/>
                <w:szCs w:val="16"/>
                <w:lang w:eastAsia="cs-CZ"/>
              </w:rPr>
              <w:t>metadat</w:t>
            </w:r>
            <w:proofErr w:type="spellEnd"/>
          </w:p>
        </w:tc>
        <w:tc>
          <w:tcPr>
            <w:tcW w:w="5958" w:type="dxa"/>
            <w:tcBorders>
              <w:top w:val="nil"/>
              <w:left w:val="nil"/>
              <w:bottom w:val="single" w:sz="4" w:space="0" w:color="auto"/>
              <w:right w:val="single" w:sz="4" w:space="0" w:color="auto"/>
            </w:tcBorders>
            <w:shd w:val="clear" w:color="auto" w:fill="auto"/>
            <w:vAlign w:val="center"/>
            <w:hideMark/>
          </w:tcPr>
          <w:p w14:paraId="61111395" w14:textId="15B77864" w:rsidR="00B25045" w:rsidRPr="00B25045" w:rsidRDefault="00475396" w:rsidP="00B25045">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P</w:t>
            </w:r>
            <w:r w:rsidR="00B25045" w:rsidRPr="00B25045">
              <w:rPr>
                <w:rFonts w:ascii="Calibri" w:eastAsia="Times New Roman" w:hAnsi="Calibri"/>
                <w:color w:val="000000"/>
                <w:sz w:val="16"/>
                <w:szCs w:val="16"/>
                <w:lang w:eastAsia="cs-CZ"/>
              </w:rPr>
              <w:t>ro názvy souborů, složek, údaje v IS, DB, DMS</w:t>
            </w:r>
          </w:p>
        </w:tc>
        <w:tc>
          <w:tcPr>
            <w:tcW w:w="2854" w:type="dxa"/>
            <w:tcBorders>
              <w:top w:val="nil"/>
              <w:left w:val="nil"/>
              <w:bottom w:val="single" w:sz="4" w:space="0" w:color="auto"/>
              <w:right w:val="single" w:sz="4" w:space="0" w:color="auto"/>
            </w:tcBorders>
            <w:shd w:val="clear" w:color="auto" w:fill="auto"/>
            <w:vAlign w:val="bottom"/>
            <w:hideMark/>
          </w:tcPr>
          <w:p w14:paraId="67292441"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4" w:space="0" w:color="auto"/>
              <w:right w:val="single" w:sz="8" w:space="0" w:color="auto"/>
            </w:tcBorders>
            <w:shd w:val="clear" w:color="auto" w:fill="auto"/>
            <w:vAlign w:val="bottom"/>
            <w:hideMark/>
          </w:tcPr>
          <w:p w14:paraId="3060B3C5"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r w:rsidR="00B25045" w:rsidRPr="00B25045" w14:paraId="5D22B809" w14:textId="77777777" w:rsidTr="00B25045">
        <w:trPr>
          <w:trHeight w:val="315"/>
        </w:trPr>
        <w:tc>
          <w:tcPr>
            <w:tcW w:w="1124" w:type="dxa"/>
            <w:vMerge/>
            <w:tcBorders>
              <w:top w:val="single" w:sz="8" w:space="0" w:color="auto"/>
              <w:left w:val="single" w:sz="8" w:space="0" w:color="auto"/>
              <w:bottom w:val="single" w:sz="8" w:space="0" w:color="000000"/>
              <w:right w:val="single" w:sz="8" w:space="0" w:color="auto"/>
            </w:tcBorders>
            <w:vAlign w:val="center"/>
            <w:hideMark/>
          </w:tcPr>
          <w:p w14:paraId="3063B8D1" w14:textId="77777777" w:rsidR="00B25045" w:rsidRPr="00B25045" w:rsidRDefault="00B25045" w:rsidP="00B25045">
            <w:pPr>
              <w:spacing w:after="0"/>
              <w:jc w:val="left"/>
              <w:rPr>
                <w:rFonts w:ascii="Calibri" w:eastAsia="Times New Roman" w:hAnsi="Calibri"/>
                <w:b/>
                <w:bCs/>
                <w:color w:val="000000"/>
                <w:sz w:val="16"/>
                <w:szCs w:val="16"/>
                <w:lang w:eastAsia="cs-CZ"/>
              </w:rPr>
            </w:pPr>
          </w:p>
        </w:tc>
        <w:tc>
          <w:tcPr>
            <w:tcW w:w="1276" w:type="dxa"/>
            <w:tcBorders>
              <w:top w:val="nil"/>
              <w:left w:val="nil"/>
              <w:bottom w:val="single" w:sz="8" w:space="0" w:color="auto"/>
              <w:right w:val="single" w:sz="8" w:space="0" w:color="auto"/>
            </w:tcBorders>
            <w:shd w:val="clear" w:color="auto" w:fill="auto"/>
            <w:vAlign w:val="center"/>
            <w:hideMark/>
          </w:tcPr>
          <w:p w14:paraId="7CB5FB5F"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Záruka</w:t>
            </w:r>
          </w:p>
        </w:tc>
        <w:tc>
          <w:tcPr>
            <w:tcW w:w="5958" w:type="dxa"/>
            <w:tcBorders>
              <w:top w:val="nil"/>
              <w:left w:val="nil"/>
              <w:bottom w:val="single" w:sz="8" w:space="0" w:color="auto"/>
              <w:right w:val="single" w:sz="4" w:space="0" w:color="auto"/>
            </w:tcBorders>
            <w:shd w:val="clear" w:color="auto" w:fill="auto"/>
            <w:vAlign w:val="center"/>
            <w:hideMark/>
          </w:tcPr>
          <w:p w14:paraId="6C79565B" w14:textId="19271805" w:rsidR="00B25045" w:rsidRPr="00B25045" w:rsidRDefault="00475396" w:rsidP="00B25045">
            <w:pPr>
              <w:spacing w:after="0"/>
              <w:rPr>
                <w:rFonts w:ascii="Calibri" w:eastAsia="Times New Roman" w:hAnsi="Calibri"/>
                <w:color w:val="000000"/>
                <w:sz w:val="16"/>
                <w:szCs w:val="16"/>
                <w:lang w:eastAsia="cs-CZ"/>
              </w:rPr>
            </w:pPr>
            <w:r>
              <w:rPr>
                <w:rFonts w:ascii="Calibri" w:eastAsia="Times New Roman" w:hAnsi="Calibri"/>
                <w:color w:val="000000"/>
                <w:sz w:val="16"/>
                <w:szCs w:val="16"/>
                <w:lang w:eastAsia="cs-CZ"/>
              </w:rPr>
              <w:t>M</w:t>
            </w:r>
            <w:r w:rsidR="00B25045" w:rsidRPr="00B25045">
              <w:rPr>
                <w:rFonts w:ascii="Calibri" w:eastAsia="Times New Roman" w:hAnsi="Calibri"/>
                <w:color w:val="000000"/>
                <w:sz w:val="16"/>
                <w:szCs w:val="16"/>
                <w:lang w:eastAsia="cs-CZ"/>
              </w:rPr>
              <w:t>in. 12 měsíců včetně nároku na nové verze</w:t>
            </w:r>
          </w:p>
        </w:tc>
        <w:tc>
          <w:tcPr>
            <w:tcW w:w="2854" w:type="dxa"/>
            <w:tcBorders>
              <w:top w:val="nil"/>
              <w:left w:val="nil"/>
              <w:bottom w:val="single" w:sz="8" w:space="0" w:color="auto"/>
              <w:right w:val="single" w:sz="4" w:space="0" w:color="auto"/>
            </w:tcBorders>
            <w:shd w:val="clear" w:color="auto" w:fill="auto"/>
            <w:vAlign w:val="bottom"/>
            <w:hideMark/>
          </w:tcPr>
          <w:p w14:paraId="05F2E22A"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c>
          <w:tcPr>
            <w:tcW w:w="2405" w:type="dxa"/>
            <w:tcBorders>
              <w:top w:val="nil"/>
              <w:left w:val="nil"/>
              <w:bottom w:val="single" w:sz="8" w:space="0" w:color="auto"/>
              <w:right w:val="single" w:sz="8" w:space="0" w:color="auto"/>
            </w:tcBorders>
            <w:shd w:val="clear" w:color="auto" w:fill="auto"/>
            <w:vAlign w:val="bottom"/>
            <w:hideMark/>
          </w:tcPr>
          <w:p w14:paraId="51DB1789" w14:textId="77777777" w:rsidR="00B25045" w:rsidRPr="00B25045" w:rsidRDefault="00B25045" w:rsidP="00B25045">
            <w:pPr>
              <w:spacing w:after="0"/>
              <w:jc w:val="left"/>
              <w:rPr>
                <w:rFonts w:ascii="Calibri" w:eastAsia="Times New Roman" w:hAnsi="Calibri"/>
                <w:color w:val="000000"/>
                <w:sz w:val="16"/>
                <w:szCs w:val="16"/>
                <w:lang w:eastAsia="cs-CZ"/>
              </w:rPr>
            </w:pPr>
            <w:r w:rsidRPr="00B25045">
              <w:rPr>
                <w:rFonts w:ascii="Calibri" w:eastAsia="Times New Roman" w:hAnsi="Calibri"/>
                <w:color w:val="000000"/>
                <w:sz w:val="16"/>
                <w:szCs w:val="16"/>
                <w:lang w:eastAsia="cs-CZ"/>
              </w:rPr>
              <w:t> </w:t>
            </w:r>
          </w:p>
        </w:tc>
      </w:tr>
    </w:tbl>
    <w:p w14:paraId="245ED508" w14:textId="77777777" w:rsidR="000F64FE" w:rsidRDefault="000F64FE" w:rsidP="00237F6F">
      <w:pPr>
        <w:pStyle w:val="Normln-Odstavec"/>
        <w:numPr>
          <w:ilvl w:val="0"/>
          <w:numId w:val="0"/>
        </w:numPr>
      </w:pPr>
    </w:p>
    <w:p w14:paraId="261D7E77" w14:textId="77777777" w:rsidR="00B25045" w:rsidRDefault="00B25045" w:rsidP="00237F6F">
      <w:pPr>
        <w:pStyle w:val="Normln-Odstavec"/>
        <w:numPr>
          <w:ilvl w:val="0"/>
          <w:numId w:val="0"/>
        </w:numPr>
      </w:pPr>
    </w:p>
    <w:p w14:paraId="5489512E" w14:textId="77777777" w:rsidR="00B25045" w:rsidRDefault="00B25045" w:rsidP="00237F6F">
      <w:pPr>
        <w:pStyle w:val="Normln-Odstavec"/>
        <w:numPr>
          <w:ilvl w:val="0"/>
          <w:numId w:val="0"/>
        </w:numPr>
        <w:sectPr w:rsidR="00B25045" w:rsidSect="00BC7951">
          <w:pgSz w:w="16840" w:h="11900" w:orient="landscape"/>
          <w:pgMar w:top="1560" w:right="1843" w:bottom="1800" w:left="1440" w:header="708" w:footer="0" w:gutter="0"/>
          <w:cols w:space="708"/>
          <w:docGrid w:linePitch="360"/>
        </w:sectPr>
      </w:pPr>
    </w:p>
    <w:p w14:paraId="0C06A80A" w14:textId="77777777" w:rsidR="0072702A" w:rsidRPr="00CB36BF" w:rsidRDefault="00725407" w:rsidP="00434EE4">
      <w:pPr>
        <w:pStyle w:val="Nadpis3"/>
        <w:numPr>
          <w:ilvl w:val="2"/>
          <w:numId w:val="2"/>
        </w:numPr>
        <w:jc w:val="left"/>
        <w:rPr>
          <w:lang w:eastAsia="cs-CZ"/>
        </w:rPr>
      </w:pPr>
      <w:r w:rsidRPr="00CB36BF">
        <w:rPr>
          <w:lang w:eastAsia="cs-CZ"/>
        </w:rPr>
        <w:lastRenderedPageBreak/>
        <w:t>P</w:t>
      </w:r>
      <w:r w:rsidR="0072702A" w:rsidRPr="00CB36BF">
        <w:rPr>
          <w:lang w:eastAsia="cs-CZ"/>
        </w:rPr>
        <w:t xml:space="preserve">ožadavky na </w:t>
      </w:r>
      <w:r w:rsidRPr="00CB36BF">
        <w:rPr>
          <w:lang w:eastAsia="cs-CZ"/>
        </w:rPr>
        <w:t xml:space="preserve">architekturu </w:t>
      </w:r>
      <w:r w:rsidR="0072702A" w:rsidRPr="00CB36BF">
        <w:rPr>
          <w:lang w:eastAsia="cs-CZ"/>
        </w:rPr>
        <w:t>technické</w:t>
      </w:r>
      <w:r w:rsidRPr="00CB36BF">
        <w:rPr>
          <w:lang w:eastAsia="cs-CZ"/>
        </w:rPr>
        <w:t>ho</w:t>
      </w:r>
      <w:r w:rsidR="0072702A" w:rsidRPr="00CB36BF">
        <w:rPr>
          <w:lang w:eastAsia="cs-CZ"/>
        </w:rPr>
        <w:t xml:space="preserve"> řešení</w:t>
      </w:r>
    </w:p>
    <w:p w14:paraId="76693E2D" w14:textId="6587F03D" w:rsidR="00D823DA" w:rsidRPr="00CB36BF" w:rsidRDefault="00D823DA" w:rsidP="00D823DA">
      <w:pPr>
        <w:pStyle w:val="Normln-Odstavec"/>
        <w:jc w:val="left"/>
      </w:pPr>
      <w:r w:rsidRPr="00CB36BF">
        <w:t xml:space="preserve">Architektura komodit musí navržena tak, aby </w:t>
      </w:r>
      <w:r w:rsidR="007750A1">
        <w:t>vhodně</w:t>
      </w:r>
      <w:r w:rsidRPr="00CB36BF">
        <w:t xml:space="preserve"> využívala a doplňovala stávající </w:t>
      </w:r>
      <w:r w:rsidR="007750A1">
        <w:t>ICT prostředky MÚ</w:t>
      </w:r>
      <w:r w:rsidRPr="00CB36BF">
        <w:t>.</w:t>
      </w:r>
    </w:p>
    <w:p w14:paraId="6BB8FB54" w14:textId="02F0B949" w:rsidR="00204D4D" w:rsidRPr="00CB36BF" w:rsidRDefault="00D823DA" w:rsidP="008D3574">
      <w:pPr>
        <w:pStyle w:val="Normln-Odstavec"/>
        <w:jc w:val="left"/>
      </w:pPr>
      <w:r w:rsidRPr="00CB36BF">
        <w:t xml:space="preserve">Architektura </w:t>
      </w:r>
      <w:r w:rsidR="00E82923" w:rsidRPr="00CB36BF">
        <w:t xml:space="preserve">VDI </w:t>
      </w:r>
      <w:r w:rsidRPr="00CB36BF">
        <w:t>komodity K1</w:t>
      </w:r>
      <w:r w:rsidR="00406AEB" w:rsidRPr="00CB36BF">
        <w:t xml:space="preserve"> musí </w:t>
      </w:r>
      <w:r w:rsidRPr="00CB36BF">
        <w:t>(např. při pořízení VDA licencí)</w:t>
      </w:r>
      <w:r w:rsidR="00406AEB" w:rsidRPr="00CB36BF">
        <w:t xml:space="preserve"> </w:t>
      </w:r>
      <w:r w:rsidR="00712DBD" w:rsidRPr="00CB36BF">
        <w:t xml:space="preserve">umožnit nasazení, provoz a správu </w:t>
      </w:r>
      <w:proofErr w:type="spellStart"/>
      <w:r w:rsidR="00712DBD" w:rsidRPr="00CB36BF">
        <w:t>virtualizovaných</w:t>
      </w:r>
      <w:proofErr w:type="spellEnd"/>
      <w:r w:rsidR="00712DBD" w:rsidRPr="00CB36BF">
        <w:t xml:space="preserve"> desktopových operačních systémů pro uživatele</w:t>
      </w:r>
      <w:r w:rsidRPr="00CB36BF">
        <w:t xml:space="preserve"> při zachování ostatních požadavků na </w:t>
      </w:r>
      <w:proofErr w:type="spellStart"/>
      <w:r w:rsidRPr="00CB36BF">
        <w:t>virtualizaci</w:t>
      </w:r>
      <w:proofErr w:type="spellEnd"/>
      <w:r w:rsidRPr="00CB36BF">
        <w:t xml:space="preserve"> aplikací a desktopů.</w:t>
      </w:r>
    </w:p>
    <w:p w14:paraId="53CEA7E9" w14:textId="57C4E342" w:rsidR="00E676BC" w:rsidRPr="00CB36BF" w:rsidRDefault="00E676BC" w:rsidP="008D3574">
      <w:pPr>
        <w:pStyle w:val="Normln-Odstavec"/>
        <w:jc w:val="left"/>
      </w:pPr>
      <w:r>
        <w:t>Architektura VDI komodity K1 bude vybudována jako modulární a bude obsahovat veškeré obvyklé komponenty řešení – server pro správu spojení (broker), správce a úložiště uživatelských profilů, webový portál a virtualizační server(y).</w:t>
      </w:r>
    </w:p>
    <w:p w14:paraId="28E5455F" w14:textId="77777777" w:rsidR="00605F3D" w:rsidRPr="00CB36BF" w:rsidRDefault="00605F3D" w:rsidP="008D3574">
      <w:pPr>
        <w:pStyle w:val="Normln-Odstavec"/>
        <w:jc w:val="left"/>
      </w:pPr>
      <w:r w:rsidRPr="00CB36BF">
        <w:t xml:space="preserve">Architektura </w:t>
      </w:r>
      <w:proofErr w:type="spellStart"/>
      <w:r w:rsidRPr="00CB36BF">
        <w:t>virtualizačních</w:t>
      </w:r>
      <w:proofErr w:type="spellEnd"/>
      <w:r w:rsidRPr="00CB36BF">
        <w:t xml:space="preserve"> komponent (servery, aplikace/desktopy) bude pro správu využívat výhradně integrované nástroje operačních systémů</w:t>
      </w:r>
    </w:p>
    <w:p w14:paraId="4FFF0959" w14:textId="23121655" w:rsidR="004558D8" w:rsidRPr="00CB36BF" w:rsidRDefault="004558D8" w:rsidP="00D823DA">
      <w:pPr>
        <w:pStyle w:val="Normln-Odstavec"/>
        <w:jc w:val="left"/>
      </w:pPr>
      <w:r w:rsidRPr="00CB36BF">
        <w:t xml:space="preserve">Architektura </w:t>
      </w:r>
      <w:proofErr w:type="spellStart"/>
      <w:r w:rsidRPr="00CB36BF">
        <w:t>firewallov</w:t>
      </w:r>
      <w:r w:rsidR="007750A1">
        <w:t>ého</w:t>
      </w:r>
      <w:proofErr w:type="spellEnd"/>
      <w:r w:rsidR="007750A1">
        <w:t xml:space="preserve"> clusteru komodity K2</w:t>
      </w:r>
      <w:r w:rsidRPr="00CB36BF">
        <w:t xml:space="preserve"> bude navržena pro provoz clusteru v režimu </w:t>
      </w:r>
      <w:proofErr w:type="spellStart"/>
      <w:r w:rsidRPr="00CB36BF">
        <w:t>active-active</w:t>
      </w:r>
      <w:proofErr w:type="spellEnd"/>
      <w:r w:rsidRPr="00CB36BF">
        <w:t xml:space="preserve"> s rozkládáním zátěže (internetového provozu) mezi uzly clusteru a všechny dostupné internetové linky a bude schopna automatického </w:t>
      </w:r>
      <w:proofErr w:type="spellStart"/>
      <w:r w:rsidRPr="00CB36BF">
        <w:t>fail-overu</w:t>
      </w:r>
      <w:proofErr w:type="spellEnd"/>
      <w:r w:rsidRPr="00CB36BF">
        <w:t xml:space="preserve"> (převzetí veškerého provozu jedním firewallem při výpadku druhého).</w:t>
      </w:r>
    </w:p>
    <w:p w14:paraId="06166F2E" w14:textId="2C022AAA" w:rsidR="00E82923" w:rsidRPr="00CB36BF" w:rsidRDefault="00B25045" w:rsidP="00D823DA">
      <w:pPr>
        <w:pStyle w:val="Normln-Odstavec"/>
        <w:jc w:val="left"/>
      </w:pPr>
      <w:r>
        <w:t>Architektury</w:t>
      </w:r>
      <w:r w:rsidR="007750A1">
        <w:t xml:space="preserve"> komodity K3</w:t>
      </w:r>
      <w:r w:rsidR="00E82923" w:rsidRPr="00CB36BF">
        <w:t xml:space="preserve"> </w:t>
      </w:r>
      <w:r>
        <w:t xml:space="preserve">a K4 </w:t>
      </w:r>
      <w:r w:rsidR="00E82923" w:rsidRPr="00CB36BF">
        <w:t>bude využívat databázový server MS SQL</w:t>
      </w:r>
      <w:r w:rsidR="00C94961">
        <w:t xml:space="preserve"> (z důvodů kompatibility se stávajícím prostředím)</w:t>
      </w:r>
      <w:r w:rsidR="00E82923" w:rsidRPr="00CB36BF">
        <w:t xml:space="preserve"> pro ukládání veškerých dat (dokumenty, údaje</w:t>
      </w:r>
      <w:r w:rsidR="00605F3D" w:rsidRPr="00CB36BF">
        <w:t>, nastavení</w:t>
      </w:r>
      <w:r w:rsidR="00E82923" w:rsidRPr="00CB36BF">
        <w:t xml:space="preserve"> apod.)</w:t>
      </w:r>
      <w:r w:rsidR="00605F3D" w:rsidRPr="00CB36BF">
        <w:t>, tj. pro zálohování a obnovu veškerých uživatelských dat a nastavení bude postačovat zálohování a obnova konkrétní databáze.</w:t>
      </w:r>
    </w:p>
    <w:p w14:paraId="03CAF12C" w14:textId="77777777" w:rsidR="00725407" w:rsidRPr="00CB36BF" w:rsidRDefault="00725407" w:rsidP="00434EE4">
      <w:pPr>
        <w:pStyle w:val="Nadpis3"/>
        <w:numPr>
          <w:ilvl w:val="2"/>
          <w:numId w:val="2"/>
        </w:numPr>
        <w:jc w:val="left"/>
        <w:rPr>
          <w:lang w:eastAsia="cs-CZ"/>
        </w:rPr>
      </w:pPr>
      <w:bookmarkStart w:id="2" w:name="OLE_LINK13"/>
      <w:bookmarkStart w:id="3" w:name="OLE_LINK14"/>
      <w:r w:rsidRPr="00CB36BF">
        <w:rPr>
          <w:lang w:eastAsia="cs-CZ"/>
        </w:rPr>
        <w:t>Požadavky na rozhraní</w:t>
      </w:r>
    </w:p>
    <w:p w14:paraId="1B92D53E" w14:textId="62399581" w:rsidR="008A40F7" w:rsidRPr="00CB36BF" w:rsidRDefault="008A40F7" w:rsidP="008D3574">
      <w:pPr>
        <w:pStyle w:val="Normln-Odstavec"/>
        <w:jc w:val="left"/>
      </w:pPr>
      <w:r w:rsidRPr="00CB36BF">
        <w:t xml:space="preserve">Řešení </w:t>
      </w:r>
      <w:r w:rsidR="00605F3D" w:rsidRPr="00CB36BF">
        <w:t>komodit</w:t>
      </w:r>
      <w:r w:rsidR="007750A1">
        <w:t>y K3</w:t>
      </w:r>
      <w:r w:rsidR="00B25045">
        <w:t xml:space="preserve"> a K4</w:t>
      </w:r>
      <w:r w:rsidR="001225C6" w:rsidRPr="00CB36BF">
        <w:t xml:space="preserve"> </w:t>
      </w:r>
      <w:r w:rsidR="004558D8" w:rsidRPr="00CB36BF">
        <w:t>musí disponovat dokumentovaným</w:t>
      </w:r>
      <w:r w:rsidR="00B25045">
        <w:t>,</w:t>
      </w:r>
      <w:r w:rsidR="004558D8" w:rsidRPr="00CB36BF">
        <w:t xml:space="preserve"> programovým aplikačním rozhraním – API</w:t>
      </w:r>
      <w:r w:rsidR="00B25045">
        <w:t>, které bude součástí dodávky</w:t>
      </w:r>
      <w:r w:rsidR="004558D8" w:rsidRPr="00CB36BF">
        <w:t>.</w:t>
      </w:r>
    </w:p>
    <w:p w14:paraId="6B0B5E19" w14:textId="77777777" w:rsidR="00385A09" w:rsidRPr="00CB36BF" w:rsidRDefault="00633099" w:rsidP="0091602C">
      <w:pPr>
        <w:pStyle w:val="Normln-Odstavec"/>
        <w:jc w:val="left"/>
      </w:pPr>
      <w:r w:rsidRPr="00CB36BF">
        <w:t xml:space="preserve">Veškeré </w:t>
      </w:r>
      <w:r w:rsidR="004558D8" w:rsidRPr="00CB36BF">
        <w:t xml:space="preserve">nabízené aktivní hardwarové produkty </w:t>
      </w:r>
      <w:r w:rsidRPr="00CB36BF">
        <w:t>musí disponovat rozhraním SNMP min v2 pro management a vzdálenou správu.</w:t>
      </w:r>
    </w:p>
    <w:p w14:paraId="2E25D63A" w14:textId="77777777" w:rsidR="00725407" w:rsidRPr="00CB36BF" w:rsidRDefault="00725407" w:rsidP="00434EE4">
      <w:pPr>
        <w:pStyle w:val="Nadpis3"/>
        <w:numPr>
          <w:ilvl w:val="2"/>
          <w:numId w:val="2"/>
        </w:numPr>
        <w:jc w:val="left"/>
        <w:rPr>
          <w:lang w:eastAsia="cs-CZ"/>
        </w:rPr>
      </w:pPr>
      <w:r w:rsidRPr="00CB36BF">
        <w:rPr>
          <w:lang w:eastAsia="cs-CZ"/>
        </w:rPr>
        <w:t>Požadavky na kompatibilitu s ostatními systémy</w:t>
      </w:r>
    </w:p>
    <w:p w14:paraId="7C982D55" w14:textId="77777777" w:rsidR="00F50861" w:rsidRPr="00CB36BF" w:rsidRDefault="00F50861" w:rsidP="00A7468F">
      <w:pPr>
        <w:pStyle w:val="Normln-Odstavec"/>
        <w:jc w:val="left"/>
      </w:pPr>
      <w:r w:rsidRPr="00CB36BF">
        <w:t xml:space="preserve">Veškeré softwarové komponenty nabízeného řešení budou provozovány ve virtuálním prostředí MS Hyper-V a musí být pro běh v tomto prostředí výrobcem podporovány. </w:t>
      </w:r>
    </w:p>
    <w:p w14:paraId="04D89934" w14:textId="77777777" w:rsidR="00725407" w:rsidRPr="00CB36BF" w:rsidRDefault="00725407" w:rsidP="00434EE4">
      <w:pPr>
        <w:pStyle w:val="Nadpis3"/>
        <w:numPr>
          <w:ilvl w:val="2"/>
          <w:numId w:val="2"/>
        </w:numPr>
        <w:jc w:val="left"/>
        <w:rPr>
          <w:lang w:eastAsia="cs-CZ"/>
        </w:rPr>
      </w:pPr>
      <w:r w:rsidRPr="00CB36BF">
        <w:rPr>
          <w:lang w:eastAsia="cs-CZ"/>
        </w:rPr>
        <w:t>Požadavky na typy klientů</w:t>
      </w:r>
    </w:p>
    <w:p w14:paraId="047A255A" w14:textId="77777777" w:rsidR="00F50861" w:rsidRPr="00CB36BF" w:rsidRDefault="00F50861" w:rsidP="00F50861">
      <w:pPr>
        <w:pStyle w:val="Normln-Odstavec"/>
        <w:jc w:val="left"/>
      </w:pPr>
      <w:r w:rsidRPr="00CB36BF">
        <w:t>Řešení VDI komodity K1 musí umožnit přístup k </w:t>
      </w:r>
      <w:proofErr w:type="spellStart"/>
      <w:r w:rsidRPr="00CB36BF">
        <w:t>virtualizovaným</w:t>
      </w:r>
      <w:proofErr w:type="spellEnd"/>
      <w:r w:rsidRPr="00CB36BF">
        <w:t xml:space="preserve"> aplikacím z operačních systémů Windows XP a vyšších, OS X a mobilních zařízení s IOS, Android a Windows </w:t>
      </w:r>
      <w:proofErr w:type="spellStart"/>
      <w:r w:rsidRPr="00CB36BF">
        <w:t>Phone</w:t>
      </w:r>
      <w:proofErr w:type="spellEnd"/>
      <w:r w:rsidRPr="00CB36BF">
        <w:t>.</w:t>
      </w:r>
    </w:p>
    <w:p w14:paraId="7F9FE3A8" w14:textId="77777777" w:rsidR="00725407" w:rsidRPr="00CB36BF" w:rsidRDefault="00725407" w:rsidP="00434EE4">
      <w:pPr>
        <w:pStyle w:val="Nadpis3"/>
        <w:numPr>
          <w:ilvl w:val="2"/>
          <w:numId w:val="2"/>
        </w:numPr>
        <w:jc w:val="left"/>
        <w:rPr>
          <w:lang w:eastAsia="cs-CZ"/>
        </w:rPr>
      </w:pPr>
      <w:r w:rsidRPr="00CB36BF">
        <w:rPr>
          <w:lang w:eastAsia="cs-CZ"/>
        </w:rPr>
        <w:t>Požadavky na bezpečnost informací</w:t>
      </w:r>
    </w:p>
    <w:p w14:paraId="33EDB205" w14:textId="77777777" w:rsidR="00201314" w:rsidRPr="00CB36BF" w:rsidRDefault="00A7468F" w:rsidP="000205C5">
      <w:pPr>
        <w:pStyle w:val="Normln-Odstavec"/>
        <w:jc w:val="left"/>
      </w:pPr>
      <w:r w:rsidRPr="00CB36BF">
        <w:t>Veškeré nástroje pro</w:t>
      </w:r>
      <w:r w:rsidR="007313DC" w:rsidRPr="00CB36BF">
        <w:t xml:space="preserve"> správu musí být umožňovat správu interních účtů (min. jméno a heslo) a/nebo napojení na </w:t>
      </w:r>
      <w:proofErr w:type="spellStart"/>
      <w:r w:rsidR="007313DC" w:rsidRPr="00CB36BF">
        <w:t>Active</w:t>
      </w:r>
      <w:proofErr w:type="spellEnd"/>
      <w:r w:rsidR="007313DC" w:rsidRPr="00CB36BF">
        <w:t xml:space="preserve"> </w:t>
      </w:r>
      <w:proofErr w:type="spellStart"/>
      <w:r w:rsidR="007313DC" w:rsidRPr="00CB36BF">
        <w:t>Directory</w:t>
      </w:r>
      <w:proofErr w:type="spellEnd"/>
      <w:r w:rsidR="007313DC" w:rsidRPr="00CB36BF">
        <w:t>.</w:t>
      </w:r>
    </w:p>
    <w:p w14:paraId="40D34BBF" w14:textId="77777777" w:rsidR="007313DC" w:rsidRPr="00CB36BF" w:rsidRDefault="007313DC" w:rsidP="000205C5">
      <w:pPr>
        <w:pStyle w:val="Normln-Odstavec"/>
        <w:jc w:val="left"/>
      </w:pPr>
      <w:r w:rsidRPr="00CB36BF">
        <w:t xml:space="preserve">Veškeré nástroje pro správu musí </w:t>
      </w:r>
      <w:r w:rsidR="00F50861" w:rsidRPr="00CB36BF">
        <w:t>umožňovat definici s minimálně 2</w:t>
      </w:r>
      <w:r w:rsidRPr="00CB36BF">
        <w:t xml:space="preserve"> úrovněmi oprávnění –</w:t>
      </w:r>
      <w:r w:rsidR="006A38A7" w:rsidRPr="00CB36BF">
        <w:t xml:space="preserve"> monitoring (pouze čtení), administrá</w:t>
      </w:r>
      <w:r w:rsidRPr="00CB36BF">
        <w:t>tor (plná správa)</w:t>
      </w:r>
    </w:p>
    <w:p w14:paraId="050DC7BD" w14:textId="77777777" w:rsidR="00750076" w:rsidRDefault="007313DC" w:rsidP="00BC7951">
      <w:pPr>
        <w:pStyle w:val="Normln-Odstavec"/>
        <w:jc w:val="left"/>
      </w:pPr>
      <w:r w:rsidRPr="00CB36BF">
        <w:t>Veškeré nástroje pro správu musí komunikovat se zařízeními šifrovanými protokoly (SSH apod.). Také v případě vestavěných nástrojů (např. www rozhraní) musí být použita šifrovaná komunikace (např. HTTPS).</w:t>
      </w:r>
    </w:p>
    <w:p w14:paraId="690D10C9" w14:textId="0B844B50" w:rsidR="00E676BC" w:rsidRPr="00BC7951" w:rsidRDefault="00E676BC" w:rsidP="00BC7951">
      <w:pPr>
        <w:pStyle w:val="Normln-Odstavec"/>
        <w:jc w:val="left"/>
      </w:pPr>
      <w:r>
        <w:t>Bezpečnost vnější k</w:t>
      </w:r>
      <w:r w:rsidR="00B25045">
        <w:t xml:space="preserve">omunikace </w:t>
      </w:r>
      <w:r>
        <w:t>webového portálu VDI bude zajištěna použitím tzv. „hvězdičkového“ (</w:t>
      </w:r>
      <w:proofErr w:type="spellStart"/>
      <w:r>
        <w:t>wildcard</w:t>
      </w:r>
      <w:proofErr w:type="spellEnd"/>
      <w:r>
        <w:t>) certifikátu veřejné certifikační autority, tj. takové autority, jejíž kořenový certifikát je součástí běžných operačních systémů a je automaticky obnovován v rámci běžných updatů operačních systémů.</w:t>
      </w:r>
    </w:p>
    <w:p w14:paraId="2FC88B60" w14:textId="77777777" w:rsidR="00D814AC" w:rsidRDefault="00D814AC" w:rsidP="004036D6">
      <w:pPr>
        <w:pStyle w:val="Nadpis2"/>
        <w:jc w:val="left"/>
        <w:rPr>
          <w:highlight w:val="magenta"/>
        </w:rPr>
        <w:sectPr w:rsidR="00D814AC" w:rsidSect="00CB762C">
          <w:pgSz w:w="11900" w:h="16840"/>
          <w:pgMar w:top="1843" w:right="1800" w:bottom="1440" w:left="1560" w:header="708" w:footer="0" w:gutter="0"/>
          <w:cols w:space="708"/>
          <w:docGrid w:linePitch="360"/>
        </w:sectPr>
      </w:pPr>
    </w:p>
    <w:p w14:paraId="2ED2A3C8" w14:textId="77777777" w:rsidR="00A14308" w:rsidRPr="00296E07" w:rsidRDefault="00530341" w:rsidP="004036D6">
      <w:pPr>
        <w:pStyle w:val="Nadpis2"/>
        <w:jc w:val="left"/>
        <w:rPr>
          <w:lang w:eastAsia="cs-CZ"/>
        </w:rPr>
      </w:pPr>
      <w:r w:rsidRPr="00296E07">
        <w:rPr>
          <w:lang w:eastAsia="cs-CZ"/>
        </w:rPr>
        <w:lastRenderedPageBreak/>
        <w:t>H</w:t>
      </w:r>
      <w:r w:rsidR="00A14308" w:rsidRPr="00296E07">
        <w:rPr>
          <w:lang w:eastAsia="cs-CZ"/>
        </w:rPr>
        <w:t>odnocen</w:t>
      </w:r>
      <w:r w:rsidRPr="00296E07">
        <w:rPr>
          <w:lang w:eastAsia="cs-CZ"/>
        </w:rPr>
        <w:t>é</w:t>
      </w:r>
      <w:r w:rsidR="00A14308" w:rsidRPr="00296E07">
        <w:rPr>
          <w:lang w:eastAsia="cs-CZ"/>
        </w:rPr>
        <w:t xml:space="preserve"> parametr</w:t>
      </w:r>
      <w:r w:rsidRPr="00296E07">
        <w:rPr>
          <w:lang w:eastAsia="cs-CZ"/>
        </w:rPr>
        <w:t>y</w:t>
      </w:r>
      <w:r w:rsidR="00A14308" w:rsidRPr="00296E07">
        <w:rPr>
          <w:lang w:eastAsia="cs-CZ"/>
        </w:rPr>
        <w:t xml:space="preserve"> technického řešení</w:t>
      </w:r>
    </w:p>
    <w:p w14:paraId="35F5316F" w14:textId="77777777" w:rsidR="00BC7951" w:rsidRPr="00296E07" w:rsidRDefault="00BC7951" w:rsidP="00434EE4">
      <w:pPr>
        <w:pStyle w:val="Nadpis3"/>
        <w:numPr>
          <w:ilvl w:val="2"/>
          <w:numId w:val="2"/>
        </w:numPr>
        <w:jc w:val="left"/>
        <w:rPr>
          <w:lang w:eastAsia="cs-CZ"/>
        </w:rPr>
      </w:pPr>
      <w:r w:rsidRPr="00296E07">
        <w:rPr>
          <w:lang w:eastAsia="cs-CZ"/>
        </w:rPr>
        <w:t>Požadavky na vlastnosti technického řešení</w:t>
      </w:r>
    </w:p>
    <w:p w14:paraId="1A763456" w14:textId="77777777" w:rsidR="00A27755" w:rsidRDefault="00BC7951" w:rsidP="00A27755">
      <w:pPr>
        <w:pStyle w:val="Normln-Odstavec"/>
        <w:jc w:val="left"/>
      </w:pPr>
      <w:r w:rsidRPr="00296E07">
        <w:t>Zadavatel požaduje kromě splnění minimálních povinných parametrů také další funkční vlastnosti nabízeného řešení. Na rozdíl od povinných parametrů není uchazeč při nesplnění některého z požadovaného hodnoceného parametru vyloučen.</w:t>
      </w:r>
      <w:r w:rsidR="00D52130" w:rsidRPr="00296E07">
        <w:t xml:space="preserve"> Způsob hodnocení je uveden v ZD.</w:t>
      </w:r>
    </w:p>
    <w:p w14:paraId="44ACAEDF" w14:textId="5A65822D" w:rsidR="00F15A0C" w:rsidRDefault="00F15A0C" w:rsidP="00F15A0C">
      <w:pPr>
        <w:pStyle w:val="Normln-Odstavec"/>
        <w:numPr>
          <w:ilvl w:val="0"/>
          <w:numId w:val="0"/>
        </w:numPr>
        <w:jc w:val="left"/>
      </w:pPr>
    </w:p>
    <w:tbl>
      <w:tblPr>
        <w:tblW w:w="13740" w:type="dxa"/>
        <w:tblInd w:w="80" w:type="dxa"/>
        <w:tblCellMar>
          <w:left w:w="70" w:type="dxa"/>
          <w:right w:w="70" w:type="dxa"/>
        </w:tblCellMar>
        <w:tblLook w:val="04A0" w:firstRow="1" w:lastRow="0" w:firstColumn="1" w:lastColumn="0" w:noHBand="0" w:noVBand="1"/>
      </w:tblPr>
      <w:tblGrid>
        <w:gridCol w:w="920"/>
        <w:gridCol w:w="6725"/>
        <w:gridCol w:w="3544"/>
        <w:gridCol w:w="2551"/>
      </w:tblGrid>
      <w:tr w:rsidR="00B25045" w:rsidRPr="00B25045" w14:paraId="0FF858FD" w14:textId="77777777" w:rsidTr="00B25045">
        <w:trPr>
          <w:trHeight w:val="315"/>
        </w:trPr>
        <w:tc>
          <w:tcPr>
            <w:tcW w:w="13740" w:type="dxa"/>
            <w:gridSpan w:val="4"/>
            <w:tcBorders>
              <w:top w:val="single" w:sz="8" w:space="0" w:color="auto"/>
              <w:left w:val="single" w:sz="8" w:space="0" w:color="auto"/>
              <w:bottom w:val="single" w:sz="8" w:space="0" w:color="auto"/>
              <w:right w:val="single" w:sz="8" w:space="0" w:color="000000"/>
            </w:tcBorders>
            <w:shd w:val="clear" w:color="000000" w:fill="C6D9F1"/>
            <w:vAlign w:val="center"/>
            <w:hideMark/>
          </w:tcPr>
          <w:p w14:paraId="28F9BDF0" w14:textId="77777777" w:rsidR="00B25045" w:rsidRPr="00B25045" w:rsidRDefault="00B25045" w:rsidP="00B25045">
            <w:pPr>
              <w:spacing w:after="0"/>
              <w:jc w:val="left"/>
              <w:rPr>
                <w:rFonts w:ascii="Calibri" w:eastAsia="Times New Roman" w:hAnsi="Calibri"/>
                <w:b/>
                <w:bCs/>
                <w:color w:val="000000"/>
                <w:sz w:val="20"/>
                <w:szCs w:val="20"/>
                <w:lang w:eastAsia="cs-CZ"/>
              </w:rPr>
            </w:pPr>
            <w:r w:rsidRPr="00B25045">
              <w:rPr>
                <w:rFonts w:ascii="Calibri" w:eastAsia="Times New Roman" w:hAnsi="Calibri"/>
                <w:b/>
                <w:bCs/>
                <w:color w:val="000000"/>
                <w:sz w:val="20"/>
                <w:szCs w:val="20"/>
                <w:lang w:eastAsia="cs-CZ"/>
              </w:rPr>
              <w:t xml:space="preserve">Hodnocené parametry </w:t>
            </w:r>
          </w:p>
        </w:tc>
      </w:tr>
      <w:tr w:rsidR="00B25045" w:rsidRPr="00B25045" w14:paraId="1F9ACFE6" w14:textId="77777777" w:rsidTr="00B25045">
        <w:trPr>
          <w:trHeight w:val="690"/>
        </w:trPr>
        <w:tc>
          <w:tcPr>
            <w:tcW w:w="920" w:type="dxa"/>
            <w:tcBorders>
              <w:top w:val="nil"/>
              <w:left w:val="single" w:sz="8" w:space="0" w:color="auto"/>
              <w:bottom w:val="single" w:sz="8" w:space="0" w:color="auto"/>
              <w:right w:val="single" w:sz="4" w:space="0" w:color="auto"/>
            </w:tcBorders>
            <w:shd w:val="clear" w:color="000000" w:fill="F2F2F2"/>
            <w:vAlign w:val="center"/>
            <w:hideMark/>
          </w:tcPr>
          <w:p w14:paraId="457A893F" w14:textId="77777777" w:rsidR="00B25045" w:rsidRPr="00B25045" w:rsidRDefault="00B25045" w:rsidP="00B25045">
            <w:pPr>
              <w:spacing w:after="0"/>
              <w:jc w:val="center"/>
              <w:rPr>
                <w:rFonts w:ascii="Calibri" w:eastAsia="Times New Roman" w:hAnsi="Calibri"/>
                <w:b/>
                <w:bCs/>
                <w:color w:val="000000"/>
                <w:sz w:val="20"/>
                <w:szCs w:val="20"/>
                <w:lang w:eastAsia="cs-CZ"/>
              </w:rPr>
            </w:pPr>
            <w:r w:rsidRPr="00B25045">
              <w:rPr>
                <w:rFonts w:ascii="Calibri" w:eastAsia="Times New Roman" w:hAnsi="Calibri"/>
                <w:b/>
                <w:bCs/>
                <w:color w:val="000000"/>
                <w:sz w:val="20"/>
                <w:szCs w:val="20"/>
                <w:lang w:eastAsia="cs-CZ"/>
              </w:rPr>
              <w:t>Parametr</w:t>
            </w:r>
          </w:p>
        </w:tc>
        <w:tc>
          <w:tcPr>
            <w:tcW w:w="6725" w:type="dxa"/>
            <w:tcBorders>
              <w:top w:val="nil"/>
              <w:left w:val="nil"/>
              <w:bottom w:val="single" w:sz="8" w:space="0" w:color="auto"/>
              <w:right w:val="single" w:sz="4" w:space="0" w:color="auto"/>
            </w:tcBorders>
            <w:shd w:val="clear" w:color="000000" w:fill="F2F2F2"/>
            <w:vAlign w:val="center"/>
            <w:hideMark/>
          </w:tcPr>
          <w:p w14:paraId="08F01D97" w14:textId="77777777" w:rsidR="00B25045" w:rsidRPr="00B25045" w:rsidRDefault="00B25045" w:rsidP="00B25045">
            <w:pPr>
              <w:spacing w:after="0"/>
              <w:jc w:val="center"/>
              <w:rPr>
                <w:rFonts w:ascii="Calibri" w:eastAsia="Times New Roman" w:hAnsi="Calibri"/>
                <w:b/>
                <w:bCs/>
                <w:color w:val="000000"/>
                <w:sz w:val="20"/>
                <w:szCs w:val="20"/>
                <w:lang w:eastAsia="cs-CZ"/>
              </w:rPr>
            </w:pPr>
            <w:r w:rsidRPr="00B25045">
              <w:rPr>
                <w:rFonts w:ascii="Calibri" w:eastAsia="Times New Roman" w:hAnsi="Calibri"/>
                <w:b/>
                <w:bCs/>
                <w:color w:val="000000"/>
                <w:sz w:val="20"/>
                <w:szCs w:val="20"/>
                <w:lang w:eastAsia="cs-CZ"/>
              </w:rPr>
              <w:t>Popis</w:t>
            </w:r>
          </w:p>
        </w:tc>
        <w:tc>
          <w:tcPr>
            <w:tcW w:w="3544" w:type="dxa"/>
            <w:tcBorders>
              <w:top w:val="nil"/>
              <w:left w:val="nil"/>
              <w:bottom w:val="single" w:sz="8" w:space="0" w:color="auto"/>
              <w:right w:val="single" w:sz="4" w:space="0" w:color="auto"/>
            </w:tcBorders>
            <w:shd w:val="clear" w:color="000000" w:fill="F2F2F2"/>
            <w:vAlign w:val="center"/>
            <w:hideMark/>
          </w:tcPr>
          <w:p w14:paraId="7EABEC50" w14:textId="77777777" w:rsidR="00B25045" w:rsidRPr="00B25045" w:rsidRDefault="00B25045" w:rsidP="00B25045">
            <w:pPr>
              <w:spacing w:after="0"/>
              <w:jc w:val="center"/>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Uchazeč popíše způsob naplnění tohoto hodnoceného parametru včetně značkové specifikace nabízených dodávek</w:t>
            </w:r>
          </w:p>
        </w:tc>
        <w:tc>
          <w:tcPr>
            <w:tcW w:w="2551" w:type="dxa"/>
            <w:tcBorders>
              <w:top w:val="nil"/>
              <w:left w:val="nil"/>
              <w:bottom w:val="single" w:sz="8" w:space="0" w:color="auto"/>
              <w:right w:val="single" w:sz="8" w:space="0" w:color="auto"/>
            </w:tcBorders>
            <w:shd w:val="clear" w:color="000000" w:fill="F2F2F2"/>
            <w:vAlign w:val="center"/>
            <w:hideMark/>
          </w:tcPr>
          <w:p w14:paraId="2495BDB0" w14:textId="77777777" w:rsidR="00B25045" w:rsidRPr="00B25045" w:rsidRDefault="00B25045" w:rsidP="00B25045">
            <w:pPr>
              <w:spacing w:after="0"/>
              <w:jc w:val="center"/>
              <w:rPr>
                <w:rFonts w:ascii="Calibri" w:eastAsia="Times New Roman" w:hAnsi="Calibri"/>
                <w:b/>
                <w:bCs/>
                <w:color w:val="000000"/>
                <w:sz w:val="16"/>
                <w:szCs w:val="16"/>
                <w:lang w:eastAsia="cs-CZ"/>
              </w:rPr>
            </w:pPr>
            <w:r w:rsidRPr="00B25045">
              <w:rPr>
                <w:rFonts w:ascii="Calibri" w:eastAsia="Times New Roman" w:hAnsi="Calibri"/>
                <w:b/>
                <w:bCs/>
                <w:color w:val="000000"/>
                <w:sz w:val="16"/>
                <w:szCs w:val="16"/>
                <w:lang w:eastAsia="cs-CZ"/>
              </w:rPr>
              <w:t>Uchazeč uvede odkaz na přiloženou část nabídky, kde je možné ověřit naplnění parametru</w:t>
            </w:r>
          </w:p>
        </w:tc>
      </w:tr>
      <w:tr w:rsidR="00B25045" w:rsidRPr="00B25045" w14:paraId="080649AD" w14:textId="77777777" w:rsidTr="00B25045">
        <w:trPr>
          <w:trHeight w:val="510"/>
        </w:trPr>
        <w:tc>
          <w:tcPr>
            <w:tcW w:w="13740" w:type="dxa"/>
            <w:gridSpan w:val="4"/>
            <w:tcBorders>
              <w:top w:val="single" w:sz="8" w:space="0" w:color="auto"/>
              <w:left w:val="single" w:sz="8" w:space="0" w:color="auto"/>
              <w:bottom w:val="single" w:sz="8" w:space="0" w:color="auto"/>
              <w:right w:val="single" w:sz="8" w:space="0" w:color="000000"/>
            </w:tcBorders>
            <w:shd w:val="clear" w:color="000000" w:fill="D5DCE4"/>
            <w:vAlign w:val="center"/>
            <w:hideMark/>
          </w:tcPr>
          <w:p w14:paraId="11265E8F" w14:textId="77777777" w:rsidR="00B25045" w:rsidRPr="00B25045" w:rsidRDefault="00B25045" w:rsidP="00B25045">
            <w:pPr>
              <w:spacing w:after="0"/>
              <w:jc w:val="left"/>
              <w:rPr>
                <w:rFonts w:ascii="Calibri" w:eastAsia="Times New Roman" w:hAnsi="Calibri"/>
                <w:b/>
                <w:bCs/>
                <w:color w:val="000000"/>
                <w:sz w:val="20"/>
                <w:szCs w:val="20"/>
                <w:lang w:eastAsia="cs-CZ"/>
              </w:rPr>
            </w:pPr>
            <w:r w:rsidRPr="00B25045">
              <w:rPr>
                <w:rFonts w:ascii="Calibri" w:eastAsia="Times New Roman" w:hAnsi="Calibri"/>
                <w:b/>
                <w:bCs/>
                <w:color w:val="000000"/>
                <w:sz w:val="20"/>
                <w:szCs w:val="20"/>
                <w:lang w:eastAsia="cs-CZ"/>
              </w:rPr>
              <w:t>Integrace EOS</w:t>
            </w:r>
          </w:p>
        </w:tc>
      </w:tr>
      <w:tr w:rsidR="00B25045" w:rsidRPr="00B25045" w14:paraId="0AF86201" w14:textId="77777777" w:rsidTr="005B4250">
        <w:trPr>
          <w:trHeight w:val="722"/>
        </w:trPr>
        <w:tc>
          <w:tcPr>
            <w:tcW w:w="920" w:type="dxa"/>
            <w:tcBorders>
              <w:top w:val="nil"/>
              <w:left w:val="single" w:sz="8" w:space="0" w:color="auto"/>
              <w:bottom w:val="single" w:sz="8" w:space="0" w:color="auto"/>
              <w:right w:val="single" w:sz="4" w:space="0" w:color="auto"/>
            </w:tcBorders>
            <w:shd w:val="clear" w:color="auto" w:fill="auto"/>
            <w:vAlign w:val="center"/>
            <w:hideMark/>
          </w:tcPr>
          <w:p w14:paraId="74452E63" w14:textId="77777777" w:rsidR="00B25045" w:rsidRPr="005B4250" w:rsidRDefault="00B25045" w:rsidP="00B25045">
            <w:pPr>
              <w:spacing w:after="0"/>
              <w:jc w:val="center"/>
              <w:rPr>
                <w:rFonts w:ascii="Calibri" w:eastAsia="Times New Roman" w:hAnsi="Calibri"/>
                <w:color w:val="000000"/>
                <w:sz w:val="16"/>
                <w:szCs w:val="16"/>
                <w:lang w:eastAsia="cs-CZ"/>
              </w:rPr>
            </w:pPr>
            <w:r w:rsidRPr="005B4250">
              <w:rPr>
                <w:rFonts w:ascii="Calibri" w:eastAsia="Times New Roman" w:hAnsi="Calibri"/>
                <w:color w:val="000000"/>
                <w:sz w:val="16"/>
                <w:szCs w:val="16"/>
                <w:lang w:eastAsia="cs-CZ"/>
              </w:rPr>
              <w:t>1</w:t>
            </w:r>
          </w:p>
        </w:tc>
        <w:tc>
          <w:tcPr>
            <w:tcW w:w="6725" w:type="dxa"/>
            <w:tcBorders>
              <w:top w:val="nil"/>
              <w:left w:val="nil"/>
              <w:bottom w:val="single" w:sz="8" w:space="0" w:color="auto"/>
              <w:right w:val="single" w:sz="4" w:space="0" w:color="auto"/>
            </w:tcBorders>
            <w:shd w:val="clear" w:color="auto" w:fill="auto"/>
            <w:vAlign w:val="center"/>
            <w:hideMark/>
          </w:tcPr>
          <w:p w14:paraId="1D11832E" w14:textId="31A299ED" w:rsidR="00B25045" w:rsidRPr="005B4250" w:rsidRDefault="003D14E7" w:rsidP="00B25045">
            <w:pPr>
              <w:spacing w:after="0"/>
              <w:jc w:val="left"/>
              <w:rPr>
                <w:rFonts w:ascii="Calibri" w:eastAsia="Times New Roman" w:hAnsi="Calibri"/>
                <w:color w:val="000000"/>
                <w:sz w:val="16"/>
                <w:szCs w:val="16"/>
                <w:lang w:eastAsia="cs-CZ"/>
              </w:rPr>
            </w:pPr>
            <w:r w:rsidRPr="005B4250">
              <w:rPr>
                <w:rFonts w:ascii="Calibri" w:eastAsia="Times New Roman" w:hAnsi="Calibri"/>
                <w:color w:val="000000"/>
                <w:sz w:val="16"/>
                <w:szCs w:val="16"/>
                <w:lang w:eastAsia="cs-CZ"/>
              </w:rPr>
              <w:t xml:space="preserve">Z důvodu jednotné správy identit </w:t>
            </w:r>
            <w:r w:rsidR="00B25045" w:rsidRPr="005B4250">
              <w:rPr>
                <w:rFonts w:ascii="Calibri" w:eastAsia="Times New Roman" w:hAnsi="Calibri"/>
                <w:color w:val="000000"/>
                <w:sz w:val="16"/>
                <w:szCs w:val="16"/>
                <w:lang w:eastAsia="cs-CZ"/>
              </w:rPr>
              <w:t>Zadavatel požaduje, aby nabízené agendy pro interní užití MÚ (Správní řízení) byly integrovány s EOS, tj. identity byly v reálném čase čerpány z EOS včetně oprávnění a činnostních rolí pro ověření přístupu k</w:t>
            </w:r>
            <w:r w:rsidR="005B4250">
              <w:rPr>
                <w:rFonts w:ascii="Calibri" w:eastAsia="Times New Roman" w:hAnsi="Calibri"/>
                <w:color w:val="000000"/>
                <w:sz w:val="16"/>
                <w:szCs w:val="16"/>
                <w:lang w:eastAsia="cs-CZ"/>
              </w:rPr>
              <w:t> </w:t>
            </w:r>
            <w:r w:rsidR="00B25045" w:rsidRPr="005B4250">
              <w:rPr>
                <w:rFonts w:ascii="Calibri" w:eastAsia="Times New Roman" w:hAnsi="Calibri"/>
                <w:color w:val="000000"/>
                <w:sz w:val="16"/>
                <w:szCs w:val="16"/>
                <w:lang w:eastAsia="cs-CZ"/>
              </w:rPr>
              <w:t>ISZR</w:t>
            </w:r>
            <w:r w:rsidR="005B4250">
              <w:rPr>
                <w:rFonts w:ascii="Calibri" w:eastAsia="Times New Roman" w:hAnsi="Calibri"/>
                <w:color w:val="000000"/>
                <w:sz w:val="16"/>
                <w:szCs w:val="16"/>
                <w:lang w:eastAsia="cs-CZ"/>
              </w:rPr>
              <w:t>.</w:t>
            </w:r>
          </w:p>
        </w:tc>
        <w:tc>
          <w:tcPr>
            <w:tcW w:w="3544" w:type="dxa"/>
            <w:tcBorders>
              <w:top w:val="nil"/>
              <w:left w:val="nil"/>
              <w:bottom w:val="single" w:sz="8" w:space="0" w:color="auto"/>
              <w:right w:val="single" w:sz="4" w:space="0" w:color="auto"/>
            </w:tcBorders>
            <w:shd w:val="clear" w:color="auto" w:fill="auto"/>
            <w:vAlign w:val="center"/>
            <w:hideMark/>
          </w:tcPr>
          <w:p w14:paraId="43E22EE3" w14:textId="77777777" w:rsidR="00B25045" w:rsidRPr="00B25045" w:rsidRDefault="00B25045" w:rsidP="00B25045">
            <w:pPr>
              <w:spacing w:after="0"/>
              <w:jc w:val="left"/>
              <w:rPr>
                <w:rFonts w:ascii="Calibri" w:eastAsia="Times New Roman" w:hAnsi="Calibri"/>
                <w:color w:val="000000"/>
                <w:sz w:val="20"/>
                <w:szCs w:val="20"/>
                <w:lang w:eastAsia="cs-CZ"/>
              </w:rPr>
            </w:pPr>
            <w:r w:rsidRPr="00B25045">
              <w:rPr>
                <w:rFonts w:ascii="Calibri" w:eastAsia="Times New Roman" w:hAnsi="Calibri"/>
                <w:color w:val="000000"/>
                <w:sz w:val="20"/>
                <w:szCs w:val="20"/>
                <w:lang w:eastAsia="cs-CZ"/>
              </w:rPr>
              <w:t> </w:t>
            </w:r>
          </w:p>
        </w:tc>
        <w:tc>
          <w:tcPr>
            <w:tcW w:w="2551" w:type="dxa"/>
            <w:tcBorders>
              <w:top w:val="nil"/>
              <w:left w:val="nil"/>
              <w:bottom w:val="single" w:sz="8" w:space="0" w:color="auto"/>
              <w:right w:val="single" w:sz="8" w:space="0" w:color="auto"/>
            </w:tcBorders>
            <w:shd w:val="clear" w:color="auto" w:fill="auto"/>
            <w:vAlign w:val="center"/>
            <w:hideMark/>
          </w:tcPr>
          <w:p w14:paraId="572D96A0" w14:textId="77777777" w:rsidR="00B25045" w:rsidRPr="00B25045" w:rsidRDefault="00B25045" w:rsidP="00B25045">
            <w:pPr>
              <w:spacing w:after="0"/>
              <w:jc w:val="left"/>
              <w:rPr>
                <w:rFonts w:ascii="Calibri" w:eastAsia="Times New Roman" w:hAnsi="Calibri"/>
                <w:color w:val="000000"/>
                <w:sz w:val="20"/>
                <w:szCs w:val="20"/>
                <w:lang w:eastAsia="cs-CZ"/>
              </w:rPr>
            </w:pPr>
            <w:r w:rsidRPr="00B25045">
              <w:rPr>
                <w:rFonts w:ascii="Calibri" w:eastAsia="Times New Roman" w:hAnsi="Calibri"/>
                <w:color w:val="000000"/>
                <w:sz w:val="20"/>
                <w:szCs w:val="20"/>
                <w:lang w:eastAsia="cs-CZ"/>
              </w:rPr>
              <w:t> </w:t>
            </w:r>
          </w:p>
        </w:tc>
      </w:tr>
      <w:tr w:rsidR="00B25045" w:rsidRPr="00B25045" w14:paraId="7075C768" w14:textId="77777777" w:rsidTr="00B25045">
        <w:trPr>
          <w:trHeight w:val="315"/>
        </w:trPr>
        <w:tc>
          <w:tcPr>
            <w:tcW w:w="13740" w:type="dxa"/>
            <w:gridSpan w:val="4"/>
            <w:tcBorders>
              <w:top w:val="single" w:sz="8" w:space="0" w:color="auto"/>
              <w:left w:val="single" w:sz="8" w:space="0" w:color="auto"/>
              <w:bottom w:val="single" w:sz="8" w:space="0" w:color="auto"/>
              <w:right w:val="single" w:sz="8" w:space="0" w:color="000000"/>
            </w:tcBorders>
            <w:shd w:val="clear" w:color="000000" w:fill="D5DCE4"/>
            <w:vAlign w:val="center"/>
            <w:hideMark/>
          </w:tcPr>
          <w:p w14:paraId="75D466B9" w14:textId="08354782" w:rsidR="00B25045" w:rsidRPr="005B4250" w:rsidRDefault="00B25045" w:rsidP="00B25045">
            <w:pPr>
              <w:spacing w:after="0"/>
              <w:jc w:val="left"/>
              <w:rPr>
                <w:rFonts w:ascii="Calibri" w:eastAsia="Times New Roman" w:hAnsi="Calibri"/>
                <w:b/>
                <w:bCs/>
                <w:color w:val="000000"/>
                <w:sz w:val="16"/>
                <w:szCs w:val="16"/>
                <w:lang w:eastAsia="cs-CZ"/>
              </w:rPr>
            </w:pPr>
            <w:r w:rsidRPr="005B4250">
              <w:rPr>
                <w:rFonts w:ascii="Calibri" w:eastAsia="Times New Roman" w:hAnsi="Calibri"/>
                <w:b/>
                <w:bCs/>
                <w:color w:val="000000"/>
                <w:sz w:val="16"/>
                <w:szCs w:val="16"/>
                <w:lang w:eastAsia="cs-CZ"/>
              </w:rPr>
              <w:t xml:space="preserve">Integrace </w:t>
            </w:r>
            <w:proofErr w:type="spellStart"/>
            <w:r w:rsidRPr="005B4250">
              <w:rPr>
                <w:rFonts w:ascii="Calibri" w:eastAsia="Times New Roman" w:hAnsi="Calibri"/>
                <w:b/>
                <w:bCs/>
                <w:color w:val="000000"/>
                <w:sz w:val="16"/>
                <w:szCs w:val="16"/>
                <w:lang w:eastAsia="cs-CZ"/>
              </w:rPr>
              <w:t>eSS</w:t>
            </w:r>
            <w:proofErr w:type="spellEnd"/>
          </w:p>
        </w:tc>
      </w:tr>
      <w:tr w:rsidR="00B25045" w:rsidRPr="00B25045" w14:paraId="236B1E8C" w14:textId="77777777" w:rsidTr="005B4250">
        <w:trPr>
          <w:trHeight w:val="497"/>
        </w:trPr>
        <w:tc>
          <w:tcPr>
            <w:tcW w:w="920" w:type="dxa"/>
            <w:tcBorders>
              <w:top w:val="nil"/>
              <w:left w:val="single" w:sz="8" w:space="0" w:color="auto"/>
              <w:bottom w:val="single" w:sz="8" w:space="0" w:color="auto"/>
              <w:right w:val="single" w:sz="4" w:space="0" w:color="auto"/>
            </w:tcBorders>
            <w:shd w:val="clear" w:color="auto" w:fill="auto"/>
            <w:vAlign w:val="center"/>
            <w:hideMark/>
          </w:tcPr>
          <w:p w14:paraId="716FD8E3" w14:textId="77777777" w:rsidR="00B25045" w:rsidRPr="005B4250" w:rsidRDefault="00B25045" w:rsidP="00B25045">
            <w:pPr>
              <w:spacing w:after="0"/>
              <w:jc w:val="center"/>
              <w:rPr>
                <w:rFonts w:ascii="Calibri" w:eastAsia="Times New Roman" w:hAnsi="Calibri"/>
                <w:color w:val="000000"/>
                <w:sz w:val="16"/>
                <w:szCs w:val="16"/>
                <w:lang w:eastAsia="cs-CZ"/>
              </w:rPr>
            </w:pPr>
            <w:r w:rsidRPr="005B4250">
              <w:rPr>
                <w:rFonts w:ascii="Calibri" w:eastAsia="Times New Roman" w:hAnsi="Calibri"/>
                <w:color w:val="000000"/>
                <w:sz w:val="16"/>
                <w:szCs w:val="16"/>
                <w:lang w:eastAsia="cs-CZ"/>
              </w:rPr>
              <w:t>2</w:t>
            </w:r>
          </w:p>
        </w:tc>
        <w:tc>
          <w:tcPr>
            <w:tcW w:w="6725" w:type="dxa"/>
            <w:tcBorders>
              <w:top w:val="nil"/>
              <w:left w:val="nil"/>
              <w:bottom w:val="single" w:sz="8" w:space="0" w:color="auto"/>
              <w:right w:val="single" w:sz="4" w:space="0" w:color="auto"/>
            </w:tcBorders>
            <w:shd w:val="clear" w:color="auto" w:fill="auto"/>
            <w:vAlign w:val="center"/>
            <w:hideMark/>
          </w:tcPr>
          <w:p w14:paraId="6AE08342" w14:textId="298BEB64" w:rsidR="00B25045" w:rsidRPr="005B4250" w:rsidRDefault="00B25045" w:rsidP="00B25045">
            <w:pPr>
              <w:spacing w:after="0"/>
              <w:jc w:val="left"/>
              <w:rPr>
                <w:rFonts w:ascii="Calibri" w:eastAsia="Times New Roman" w:hAnsi="Calibri"/>
                <w:color w:val="000000"/>
                <w:sz w:val="16"/>
                <w:szCs w:val="16"/>
                <w:lang w:eastAsia="cs-CZ"/>
              </w:rPr>
            </w:pPr>
            <w:r w:rsidRPr="005B4250">
              <w:rPr>
                <w:rFonts w:ascii="Calibri" w:eastAsia="Times New Roman" w:hAnsi="Calibri"/>
                <w:color w:val="000000"/>
                <w:sz w:val="16"/>
                <w:szCs w:val="16"/>
                <w:lang w:eastAsia="cs-CZ"/>
              </w:rPr>
              <w:t>Zadavatel požaduje, aby nabízené agendy pro interní uživatele (Správní řízení) byly integrovány se spisovou službou,</w:t>
            </w:r>
            <w:r w:rsidR="003D14E7" w:rsidRPr="005B4250">
              <w:rPr>
                <w:rFonts w:ascii="Calibri" w:eastAsia="Times New Roman" w:hAnsi="Calibri"/>
                <w:color w:val="000000"/>
                <w:sz w:val="16"/>
                <w:szCs w:val="16"/>
                <w:lang w:eastAsia="cs-CZ"/>
              </w:rPr>
              <w:t xml:space="preserve"> tj. docházelo ke sdílení/výměně dat v re</w:t>
            </w:r>
            <w:r w:rsidRPr="005B4250">
              <w:rPr>
                <w:rFonts w:ascii="Calibri" w:eastAsia="Times New Roman" w:hAnsi="Calibri"/>
                <w:color w:val="000000"/>
                <w:sz w:val="16"/>
                <w:szCs w:val="16"/>
                <w:lang w:eastAsia="cs-CZ"/>
              </w:rPr>
              <w:t>álném času.</w:t>
            </w:r>
          </w:p>
        </w:tc>
        <w:tc>
          <w:tcPr>
            <w:tcW w:w="3544" w:type="dxa"/>
            <w:tcBorders>
              <w:top w:val="nil"/>
              <w:left w:val="nil"/>
              <w:bottom w:val="single" w:sz="8" w:space="0" w:color="auto"/>
              <w:right w:val="single" w:sz="4" w:space="0" w:color="auto"/>
            </w:tcBorders>
            <w:shd w:val="clear" w:color="auto" w:fill="auto"/>
            <w:vAlign w:val="center"/>
            <w:hideMark/>
          </w:tcPr>
          <w:p w14:paraId="4218727D" w14:textId="77777777" w:rsidR="00B25045" w:rsidRPr="00B25045" w:rsidRDefault="00B25045" w:rsidP="00B25045">
            <w:pPr>
              <w:spacing w:after="0"/>
              <w:jc w:val="left"/>
              <w:rPr>
                <w:rFonts w:ascii="Calibri" w:eastAsia="Times New Roman" w:hAnsi="Calibri"/>
                <w:color w:val="000000"/>
                <w:sz w:val="20"/>
                <w:szCs w:val="20"/>
                <w:lang w:eastAsia="cs-CZ"/>
              </w:rPr>
            </w:pPr>
            <w:r w:rsidRPr="00B25045">
              <w:rPr>
                <w:rFonts w:ascii="Calibri" w:eastAsia="Times New Roman" w:hAnsi="Calibri"/>
                <w:color w:val="000000"/>
                <w:sz w:val="20"/>
                <w:szCs w:val="20"/>
                <w:lang w:eastAsia="cs-CZ"/>
              </w:rPr>
              <w:t> </w:t>
            </w:r>
          </w:p>
        </w:tc>
        <w:tc>
          <w:tcPr>
            <w:tcW w:w="2551" w:type="dxa"/>
            <w:tcBorders>
              <w:top w:val="nil"/>
              <w:left w:val="nil"/>
              <w:bottom w:val="single" w:sz="8" w:space="0" w:color="auto"/>
              <w:right w:val="single" w:sz="8" w:space="0" w:color="auto"/>
            </w:tcBorders>
            <w:shd w:val="clear" w:color="auto" w:fill="auto"/>
            <w:vAlign w:val="center"/>
            <w:hideMark/>
          </w:tcPr>
          <w:p w14:paraId="3EECF476" w14:textId="77777777" w:rsidR="00B25045" w:rsidRPr="00B25045" w:rsidRDefault="00B25045" w:rsidP="00B25045">
            <w:pPr>
              <w:spacing w:after="0"/>
              <w:jc w:val="left"/>
              <w:rPr>
                <w:rFonts w:ascii="Calibri" w:eastAsia="Times New Roman" w:hAnsi="Calibri"/>
                <w:color w:val="000000"/>
                <w:sz w:val="20"/>
                <w:szCs w:val="20"/>
                <w:lang w:eastAsia="cs-CZ"/>
              </w:rPr>
            </w:pPr>
            <w:r w:rsidRPr="00B25045">
              <w:rPr>
                <w:rFonts w:ascii="Calibri" w:eastAsia="Times New Roman" w:hAnsi="Calibri"/>
                <w:color w:val="000000"/>
                <w:sz w:val="20"/>
                <w:szCs w:val="20"/>
                <w:lang w:eastAsia="cs-CZ"/>
              </w:rPr>
              <w:t> </w:t>
            </w:r>
          </w:p>
        </w:tc>
      </w:tr>
    </w:tbl>
    <w:p w14:paraId="2FBD892A" w14:textId="77777777" w:rsidR="00F15A0C" w:rsidRPr="00296E07" w:rsidRDefault="00F15A0C" w:rsidP="00F15A0C">
      <w:pPr>
        <w:pStyle w:val="Normln-Odstavec"/>
        <w:numPr>
          <w:ilvl w:val="0"/>
          <w:numId w:val="0"/>
        </w:numPr>
        <w:jc w:val="left"/>
      </w:pPr>
    </w:p>
    <w:p w14:paraId="44329BBA" w14:textId="77777777" w:rsidR="00BC7951" w:rsidRPr="00CB36BF" w:rsidRDefault="00BC7951" w:rsidP="00BC7951">
      <w:pPr>
        <w:pStyle w:val="Normln-Odstavec"/>
        <w:numPr>
          <w:ilvl w:val="0"/>
          <w:numId w:val="0"/>
        </w:numPr>
      </w:pPr>
    </w:p>
    <w:p w14:paraId="648D19A4" w14:textId="77777777" w:rsidR="00D72323" w:rsidRPr="00CB36BF" w:rsidRDefault="00D72323">
      <w:pPr>
        <w:spacing w:after="0"/>
        <w:jc w:val="left"/>
        <w:rPr>
          <w:rFonts w:ascii="Arial" w:hAnsi="Arial"/>
          <w:b/>
          <w:bCs/>
          <w:i/>
          <w:iCs/>
          <w:sz w:val="28"/>
          <w:szCs w:val="28"/>
          <w:lang w:eastAsia="cs-CZ"/>
        </w:rPr>
      </w:pPr>
    </w:p>
    <w:p w14:paraId="141D9813" w14:textId="77777777" w:rsidR="00BC7951" w:rsidRDefault="00BC7951" w:rsidP="00BC7951">
      <w:pPr>
        <w:pStyle w:val="Nadpis2"/>
        <w:rPr>
          <w:lang w:eastAsia="cs-CZ"/>
        </w:rPr>
        <w:sectPr w:rsidR="00BC7951" w:rsidSect="00CB762C">
          <w:pgSz w:w="16840" w:h="11900" w:orient="landscape"/>
          <w:pgMar w:top="1560" w:right="1843" w:bottom="1800" w:left="1440" w:header="708" w:footer="0" w:gutter="0"/>
          <w:cols w:space="708"/>
          <w:docGrid w:linePitch="360"/>
        </w:sectPr>
      </w:pPr>
    </w:p>
    <w:p w14:paraId="4E5FCF2B" w14:textId="77777777" w:rsidR="00DE2AB5" w:rsidRPr="00CB36BF" w:rsidRDefault="003A59EC" w:rsidP="00BC7951">
      <w:pPr>
        <w:pStyle w:val="Nadpis2"/>
        <w:rPr>
          <w:lang w:eastAsia="cs-CZ"/>
        </w:rPr>
      </w:pPr>
      <w:r w:rsidRPr="00CB36BF">
        <w:rPr>
          <w:lang w:eastAsia="cs-CZ"/>
        </w:rPr>
        <w:lastRenderedPageBreak/>
        <w:t>Implementační služby</w:t>
      </w:r>
    </w:p>
    <w:p w14:paraId="4C9B7C49" w14:textId="77777777" w:rsidR="00D72323" w:rsidRPr="00CB36BF" w:rsidRDefault="00D72323" w:rsidP="00434EE4">
      <w:pPr>
        <w:pStyle w:val="Nadpis3"/>
        <w:numPr>
          <w:ilvl w:val="2"/>
          <w:numId w:val="2"/>
        </w:numPr>
        <w:jc w:val="left"/>
        <w:rPr>
          <w:lang w:eastAsia="cs-CZ"/>
        </w:rPr>
      </w:pPr>
      <w:r w:rsidRPr="00CB36BF">
        <w:rPr>
          <w:lang w:eastAsia="cs-CZ"/>
        </w:rPr>
        <w:t>Obecné požadavky</w:t>
      </w:r>
    </w:p>
    <w:p w14:paraId="03FBEA4B" w14:textId="77777777" w:rsidR="00D72323" w:rsidRPr="00CB36BF" w:rsidRDefault="00D72323" w:rsidP="00D72323">
      <w:pPr>
        <w:pStyle w:val="Normln-Odstavec"/>
        <w:jc w:val="left"/>
      </w:pPr>
      <w:r w:rsidRPr="00CB36BF">
        <w:t>Zadavatel požaduje provést minimálně následující implementační práce na dodaných komponentech a případně dalších zařízeních. Uchazeč je dále povinen zahrnout do nabídky veškeré další činnosti a prostředky, které jsou nezbytné pro provedení díla v rozsahu doporučeném výrobci a dle tzv. nejlepších praktik, i v případě pokud nejsou explicitně uvedeny, ale jsou pro realizaci předmětu plnění podstatné. Implementační služby budou minimálně v následujícím rozsahu:</w:t>
      </w:r>
    </w:p>
    <w:p w14:paraId="7257F6B1" w14:textId="77777777" w:rsidR="00D72323" w:rsidRPr="00CB36BF" w:rsidRDefault="00D72323" w:rsidP="00D72323">
      <w:pPr>
        <w:pStyle w:val="Normln-Psmeno"/>
      </w:pPr>
      <w:r w:rsidRPr="00CB36BF">
        <w:t xml:space="preserve">Zpracování </w:t>
      </w:r>
      <w:proofErr w:type="spellStart"/>
      <w:r w:rsidRPr="00CB36BF">
        <w:t>předimplementační</w:t>
      </w:r>
      <w:proofErr w:type="spellEnd"/>
      <w:r w:rsidRPr="00CB36BF">
        <w:t xml:space="preserve"> analýzy</w:t>
      </w:r>
      <w:r w:rsidR="00397D69" w:rsidRPr="00CB36BF">
        <w:t>,</w:t>
      </w:r>
    </w:p>
    <w:p w14:paraId="339FCE07" w14:textId="77777777" w:rsidR="00D72323" w:rsidRPr="00CB36BF" w:rsidRDefault="00D72323" w:rsidP="00D72323">
      <w:pPr>
        <w:pStyle w:val="Normln-Psmeno"/>
      </w:pPr>
      <w:r w:rsidRPr="00CB36BF">
        <w:t>Zpracování prováděcí dokumentace</w:t>
      </w:r>
      <w:r w:rsidR="00397D69" w:rsidRPr="00CB36BF">
        <w:t>,</w:t>
      </w:r>
    </w:p>
    <w:p w14:paraId="14AFA169" w14:textId="77777777" w:rsidR="00D72323" w:rsidRPr="00CB36BF" w:rsidRDefault="00D72323" w:rsidP="00D72323">
      <w:pPr>
        <w:pStyle w:val="Normln-Psmeno"/>
      </w:pPr>
      <w:r w:rsidRPr="00CB36BF">
        <w:t>Zajištění projektového vedení realizace předmětu plnění</w:t>
      </w:r>
      <w:r w:rsidR="00397D69" w:rsidRPr="00CB36BF">
        <w:t>,</w:t>
      </w:r>
    </w:p>
    <w:p w14:paraId="30CFFBD5" w14:textId="77777777" w:rsidR="00D72323" w:rsidRPr="00CB36BF" w:rsidRDefault="00D72323" w:rsidP="00D72323">
      <w:pPr>
        <w:pStyle w:val="Normln-Psmeno"/>
      </w:pPr>
      <w:r w:rsidRPr="00CB36BF">
        <w:t>Dodávku nabízeného hardware a software</w:t>
      </w:r>
      <w:r w:rsidR="00397D69" w:rsidRPr="00CB36BF">
        <w:t>,</w:t>
      </w:r>
    </w:p>
    <w:p w14:paraId="35FCE72E" w14:textId="77777777" w:rsidR="00D72323" w:rsidRPr="00CB36BF" w:rsidRDefault="00D72323" w:rsidP="00D72323">
      <w:pPr>
        <w:pStyle w:val="Normln-Psmeno"/>
      </w:pPr>
      <w:r w:rsidRPr="00CB36BF">
        <w:t>Kompletní implementaci řešení splňující povinné a nabízené hodnocené parametry technického řešení</w:t>
      </w:r>
      <w:r w:rsidR="005B13EF" w:rsidRPr="00CB36BF">
        <w:t>,</w:t>
      </w:r>
    </w:p>
    <w:p w14:paraId="423DB085" w14:textId="77777777" w:rsidR="00D72323" w:rsidRPr="00CB36BF" w:rsidRDefault="00D72323" w:rsidP="00D72323">
      <w:pPr>
        <w:pStyle w:val="Normln-Psmeno"/>
      </w:pPr>
      <w:r w:rsidRPr="00CB36BF">
        <w:t>Provedení školení</w:t>
      </w:r>
      <w:r w:rsidR="005B13EF" w:rsidRPr="00CB36BF">
        <w:t>,</w:t>
      </w:r>
    </w:p>
    <w:p w14:paraId="53A9ABDE" w14:textId="77777777" w:rsidR="00D72323" w:rsidRPr="00CB36BF" w:rsidRDefault="00D72323" w:rsidP="00D72323">
      <w:pPr>
        <w:pStyle w:val="Normln-Psmeno"/>
        <w:jc w:val="left"/>
      </w:pPr>
      <w:r w:rsidRPr="00CB36BF">
        <w:rPr>
          <w:rFonts w:ascii="Times" w:hAnsi="Times"/>
        </w:rPr>
        <w:t>Zajištění zkušebního provozu</w:t>
      </w:r>
      <w:r w:rsidR="00397D69" w:rsidRPr="00CB36BF">
        <w:rPr>
          <w:rFonts w:ascii="Times" w:hAnsi="Times"/>
        </w:rPr>
        <w:t>,</w:t>
      </w:r>
    </w:p>
    <w:p w14:paraId="2F333D6A" w14:textId="77777777" w:rsidR="00D72323" w:rsidRPr="00CB36BF" w:rsidRDefault="00D72323" w:rsidP="00D72323">
      <w:pPr>
        <w:pStyle w:val="Normln-Psmeno"/>
      </w:pPr>
      <w:r w:rsidRPr="00CB36BF">
        <w:t>Provedení akceptačních testů</w:t>
      </w:r>
      <w:r w:rsidR="00397D69" w:rsidRPr="00CB36BF">
        <w:t>,</w:t>
      </w:r>
    </w:p>
    <w:p w14:paraId="5BC7D636" w14:textId="77777777" w:rsidR="00D72323" w:rsidRPr="00CB36BF" w:rsidRDefault="00D72323" w:rsidP="00D72323">
      <w:pPr>
        <w:pStyle w:val="Normln-Psmeno"/>
      </w:pPr>
      <w:r w:rsidRPr="00CB36BF">
        <w:t>Předání do ostrého provozu</w:t>
      </w:r>
      <w:r w:rsidR="00397D69" w:rsidRPr="00CB36BF">
        <w:t>,</w:t>
      </w:r>
    </w:p>
    <w:p w14:paraId="1C71B321" w14:textId="77777777" w:rsidR="00D72323" w:rsidRPr="00CB36BF" w:rsidRDefault="00D72323" w:rsidP="00D72323">
      <w:pPr>
        <w:pStyle w:val="Normln-Psmeno"/>
      </w:pPr>
      <w:r w:rsidRPr="00CB36BF">
        <w:t>Zajištění ostatních služeb potřebných pro realizaci projektu</w:t>
      </w:r>
      <w:r w:rsidR="00397D69" w:rsidRPr="00CB36BF">
        <w:t>.</w:t>
      </w:r>
    </w:p>
    <w:p w14:paraId="50F1C6D7" w14:textId="77777777" w:rsidR="004016F8" w:rsidRPr="00CB36BF" w:rsidRDefault="004016F8" w:rsidP="00D72323">
      <w:pPr>
        <w:pStyle w:val="Normln-Odstavec"/>
        <w:jc w:val="left"/>
      </w:pPr>
      <w:r w:rsidRPr="00CB36BF">
        <w:t>Náklady na provedení implementačních služeb musí být zahrnuty v nabídkové ceně k položce, ke které se vztahují a nelze je vyčíslit zvlášť.</w:t>
      </w:r>
    </w:p>
    <w:p w14:paraId="6665F561" w14:textId="77777777" w:rsidR="00D72323" w:rsidRPr="00CB36BF" w:rsidRDefault="00D72323" w:rsidP="00D72323">
      <w:pPr>
        <w:pStyle w:val="Normln-Odstavec"/>
        <w:jc w:val="left"/>
      </w:pPr>
      <w:r w:rsidRPr="00CB36BF">
        <w:t>Veškerá dokumentace musí být zhotovena výhradně v českém jazyce, bude dodána ve 2x kopiích v elektronické formě ve standartních formátech (např. MS Office) používaných zadavatelem na datovém nosiči a 1x kopii v papírové formě.</w:t>
      </w:r>
    </w:p>
    <w:p w14:paraId="70836AD1" w14:textId="77777777" w:rsidR="00110B29" w:rsidRPr="00CB36BF" w:rsidRDefault="00110B29" w:rsidP="00434EE4">
      <w:pPr>
        <w:pStyle w:val="Nadpis3"/>
        <w:numPr>
          <w:ilvl w:val="2"/>
          <w:numId w:val="2"/>
        </w:numPr>
        <w:jc w:val="left"/>
        <w:rPr>
          <w:lang w:eastAsia="cs-CZ"/>
        </w:rPr>
      </w:pPr>
      <w:r w:rsidRPr="00CB36BF">
        <w:rPr>
          <w:lang w:eastAsia="cs-CZ"/>
        </w:rPr>
        <w:t xml:space="preserve">Požadavky na </w:t>
      </w:r>
      <w:proofErr w:type="spellStart"/>
      <w:r w:rsidRPr="00CB36BF">
        <w:rPr>
          <w:lang w:eastAsia="cs-CZ"/>
        </w:rPr>
        <w:t>předimplementační</w:t>
      </w:r>
      <w:proofErr w:type="spellEnd"/>
      <w:r w:rsidRPr="00CB36BF">
        <w:rPr>
          <w:lang w:eastAsia="cs-CZ"/>
        </w:rPr>
        <w:t xml:space="preserve"> analýzu</w:t>
      </w:r>
    </w:p>
    <w:p w14:paraId="7CA5D94B" w14:textId="77777777" w:rsidR="00B05E61" w:rsidRPr="00CB36BF" w:rsidRDefault="00C82DE5" w:rsidP="00A207CA">
      <w:pPr>
        <w:pStyle w:val="Normln-Odstavec"/>
        <w:jc w:val="left"/>
      </w:pPr>
      <w:r w:rsidRPr="00CB36BF">
        <w:t xml:space="preserve">Před implementací řešení </w:t>
      </w:r>
      <w:r w:rsidR="00654825" w:rsidRPr="00CB36BF">
        <w:t>zpracuje</w:t>
      </w:r>
      <w:r w:rsidRPr="00CB36BF">
        <w:t xml:space="preserve"> Uchazeč </w:t>
      </w:r>
      <w:proofErr w:type="spellStart"/>
      <w:r w:rsidRPr="00CB36BF">
        <w:t>předimplementační</w:t>
      </w:r>
      <w:proofErr w:type="spellEnd"/>
      <w:r w:rsidRPr="00CB36BF">
        <w:t xml:space="preserve"> </w:t>
      </w:r>
      <w:r w:rsidR="009312E0" w:rsidRPr="00CB36BF">
        <w:t>analýzu, minimálně pro</w:t>
      </w:r>
      <w:r w:rsidRPr="00CB36BF">
        <w:t> </w:t>
      </w:r>
      <w:r w:rsidR="009312E0" w:rsidRPr="00CB36BF">
        <w:t>následující</w:t>
      </w:r>
      <w:r w:rsidRPr="00CB36BF">
        <w:t xml:space="preserve"> </w:t>
      </w:r>
      <w:r w:rsidR="009312E0" w:rsidRPr="00CB36BF">
        <w:t>oblasti</w:t>
      </w:r>
      <w:r w:rsidRPr="00CB36BF">
        <w:t xml:space="preserve">: </w:t>
      </w:r>
    </w:p>
    <w:p w14:paraId="018E1EBE" w14:textId="77777777" w:rsidR="00610F70" w:rsidRPr="00CB36BF" w:rsidRDefault="00610F70" w:rsidP="00610F70">
      <w:pPr>
        <w:pStyle w:val="Normln-Psmeno"/>
      </w:pPr>
      <w:r w:rsidRPr="00CB36BF">
        <w:t xml:space="preserve">Analýza aplikačního prostředí Města, ověření funkčnosti produkčních aplikací ve </w:t>
      </w:r>
      <w:proofErr w:type="spellStart"/>
      <w:r w:rsidRPr="00CB36BF">
        <w:t>virtualizovaném</w:t>
      </w:r>
      <w:proofErr w:type="spellEnd"/>
      <w:r w:rsidRPr="00CB36BF">
        <w:t xml:space="preserve"> prostředí</w:t>
      </w:r>
      <w:r w:rsidR="00BA2A52" w:rsidRPr="00CB36BF">
        <w:t>.</w:t>
      </w:r>
    </w:p>
    <w:p w14:paraId="443E0251" w14:textId="77777777" w:rsidR="00610F70" w:rsidRPr="00CB36BF" w:rsidRDefault="00610F70" w:rsidP="00610F70">
      <w:pPr>
        <w:pStyle w:val="Normln-Psmeno"/>
      </w:pPr>
      <w:r w:rsidRPr="00CB36BF">
        <w:t xml:space="preserve">Analýza koncových stanic a jejich periferií – ověření funkčnosti ve </w:t>
      </w:r>
      <w:proofErr w:type="spellStart"/>
      <w:r w:rsidRPr="00CB36BF">
        <w:t>virtualizovaném</w:t>
      </w:r>
      <w:proofErr w:type="spellEnd"/>
      <w:r w:rsidRPr="00CB36BF">
        <w:t xml:space="preserve"> prostředí. Návrh řešení koncových stanic, které nebude možné </w:t>
      </w:r>
      <w:proofErr w:type="spellStart"/>
      <w:r w:rsidRPr="00CB36BF">
        <w:t>virtualizovat</w:t>
      </w:r>
      <w:proofErr w:type="spellEnd"/>
      <w:r w:rsidR="00BA2A52" w:rsidRPr="00CB36BF">
        <w:t>.</w:t>
      </w:r>
    </w:p>
    <w:p w14:paraId="19EBA61C" w14:textId="77777777" w:rsidR="00610F70" w:rsidRPr="00CB36BF" w:rsidRDefault="00610F70" w:rsidP="00610F70">
      <w:pPr>
        <w:pStyle w:val="Normln-Psmeno"/>
        <w:jc w:val="left"/>
      </w:pPr>
      <w:r w:rsidRPr="00CB36BF">
        <w:t>Současný systém ukládání a zálohování dat, toky a objemy dat</w:t>
      </w:r>
      <w:r w:rsidR="00BA2A52" w:rsidRPr="00CB36BF">
        <w:t>.</w:t>
      </w:r>
    </w:p>
    <w:p w14:paraId="00504675" w14:textId="487919AD" w:rsidR="00610F70" w:rsidRPr="00CB36BF" w:rsidRDefault="00610F70" w:rsidP="00610F70">
      <w:pPr>
        <w:pStyle w:val="Normln-Psmeno"/>
        <w:jc w:val="left"/>
      </w:pPr>
      <w:r w:rsidRPr="00CB36BF">
        <w:t xml:space="preserve">Způsob začlenění nabízených komodit do </w:t>
      </w:r>
      <w:r w:rsidR="0010378B">
        <w:t>stávajícího ICT prostředí</w:t>
      </w:r>
      <w:r w:rsidR="00BA2A52" w:rsidRPr="00CB36BF">
        <w:t>.</w:t>
      </w:r>
    </w:p>
    <w:p w14:paraId="22ABB885" w14:textId="77777777" w:rsidR="00610F70" w:rsidRPr="00CB36BF" w:rsidRDefault="00610F70" w:rsidP="00610F70">
      <w:pPr>
        <w:pStyle w:val="Normln-Psmeno"/>
        <w:jc w:val="left"/>
      </w:pPr>
      <w:r w:rsidRPr="00CB36BF">
        <w:t>Síťová infrastruktura – role LAN, bezpečnost, doporučení, pravidla</w:t>
      </w:r>
      <w:r w:rsidR="00BA2A52" w:rsidRPr="00CB36BF">
        <w:t>.</w:t>
      </w:r>
    </w:p>
    <w:p w14:paraId="30D27AC5" w14:textId="77777777" w:rsidR="00610F70" w:rsidRPr="00CB36BF" w:rsidRDefault="00610F70" w:rsidP="00610F70">
      <w:pPr>
        <w:pStyle w:val="Normln-Psmeno"/>
        <w:jc w:val="left"/>
      </w:pPr>
      <w:r w:rsidRPr="00CB36BF">
        <w:t>Konfigurace úložišť ve vztahu k plánovanému využití</w:t>
      </w:r>
      <w:r w:rsidR="00BA2A52" w:rsidRPr="00CB36BF">
        <w:t>.</w:t>
      </w:r>
    </w:p>
    <w:p w14:paraId="15BC9F20" w14:textId="7F8A01ED" w:rsidR="00610F70" w:rsidRDefault="00B25045" w:rsidP="00610F70">
      <w:pPr>
        <w:pStyle w:val="Normln-Psmeno"/>
        <w:jc w:val="left"/>
      </w:pPr>
      <w:r>
        <w:t>Metodiky</w:t>
      </w:r>
      <w:r w:rsidR="00610F70" w:rsidRPr="00CB36BF">
        <w:t>, požadavky na ukládání a vyhledávání dat a další podklady relevan</w:t>
      </w:r>
      <w:r w:rsidR="0010378B">
        <w:t>tní pro návrh řešení komodity K3</w:t>
      </w:r>
      <w:r w:rsidR="00BA2A52" w:rsidRPr="00CB36BF">
        <w:t>.</w:t>
      </w:r>
    </w:p>
    <w:p w14:paraId="4F209177" w14:textId="742E9B4E" w:rsidR="00D814AC" w:rsidRPr="00CB36BF" w:rsidRDefault="00B25045" w:rsidP="00CB762C">
      <w:pPr>
        <w:pStyle w:val="Normln-Psmeno"/>
        <w:jc w:val="left"/>
      </w:pPr>
      <w:r>
        <w:t>Metodiky</w:t>
      </w:r>
      <w:r w:rsidR="00D814AC" w:rsidRPr="00CB36BF">
        <w:t>, požadavky na ukládání a vyhledávání dat a další podklady relevan</w:t>
      </w:r>
      <w:r w:rsidR="00D814AC">
        <w:t>tní pro návrh řešení komodity K5</w:t>
      </w:r>
      <w:r w:rsidR="00D814AC" w:rsidRPr="00CB36BF">
        <w:t>.</w:t>
      </w:r>
    </w:p>
    <w:p w14:paraId="00315403" w14:textId="38C986D5" w:rsidR="00610F70" w:rsidRPr="00CB36BF" w:rsidRDefault="00610F70" w:rsidP="00610F70">
      <w:pPr>
        <w:pStyle w:val="Normln-Psmeno"/>
        <w:jc w:val="left"/>
      </w:pPr>
      <w:r w:rsidRPr="00CB36BF">
        <w:lastRenderedPageBreak/>
        <w:t>Analýza aplikačního prostředí a potřeb uživatelů pr</w:t>
      </w:r>
      <w:r w:rsidR="0010378B">
        <w:t>o návrh řešení komodity K1</w:t>
      </w:r>
      <w:r w:rsidR="00BA2A52" w:rsidRPr="00CB36BF">
        <w:t>.</w:t>
      </w:r>
    </w:p>
    <w:p w14:paraId="7F70B234" w14:textId="77777777" w:rsidR="00610F70" w:rsidRPr="00CB36BF" w:rsidRDefault="00610F70" w:rsidP="00610F70">
      <w:pPr>
        <w:pStyle w:val="Normln-Psmeno"/>
        <w:jc w:val="left"/>
      </w:pPr>
      <w:r w:rsidRPr="00CB36BF">
        <w:t>Rekonfigurace stávajících systémů</w:t>
      </w:r>
      <w:r w:rsidR="00BA2A52" w:rsidRPr="00CB36BF">
        <w:t>.</w:t>
      </w:r>
    </w:p>
    <w:p w14:paraId="21718129" w14:textId="77777777" w:rsidR="00610F70" w:rsidRPr="00CB36BF" w:rsidRDefault="00610F70" w:rsidP="00610F70">
      <w:pPr>
        <w:pStyle w:val="Normln-Psmeno"/>
        <w:jc w:val="left"/>
      </w:pPr>
      <w:r w:rsidRPr="00CB36BF">
        <w:t xml:space="preserve">Dopady implementace na dostupnost a funkčnost </w:t>
      </w:r>
      <w:r w:rsidR="00BA2A52" w:rsidRPr="00CB36BF">
        <w:t>stávajících služeb.</w:t>
      </w:r>
    </w:p>
    <w:p w14:paraId="1A74C4F5" w14:textId="77777777" w:rsidR="00610F70" w:rsidRPr="00CB36BF" w:rsidRDefault="00610F70" w:rsidP="00610F70">
      <w:pPr>
        <w:pStyle w:val="Normln-Psmeno"/>
        <w:jc w:val="left"/>
      </w:pPr>
      <w:r w:rsidRPr="00CB36BF">
        <w:t>Posouzení dopadů na non-IT technologie (spotřeba energií, tepelný výkon)</w:t>
      </w:r>
      <w:r w:rsidR="00BA2A52" w:rsidRPr="00CB36BF">
        <w:t>.</w:t>
      </w:r>
    </w:p>
    <w:p w14:paraId="0CB4B44A" w14:textId="77777777" w:rsidR="00610F70" w:rsidRPr="00CB36BF" w:rsidRDefault="00610F70" w:rsidP="00610F70">
      <w:pPr>
        <w:pStyle w:val="Normln-Psmeno"/>
        <w:jc w:val="left"/>
      </w:pPr>
      <w:r w:rsidRPr="00CB36BF">
        <w:t>Požadované součinnosti Zadavatele.</w:t>
      </w:r>
    </w:p>
    <w:p w14:paraId="0B7520BA" w14:textId="77777777" w:rsidR="00610F70" w:rsidRPr="00CB36BF" w:rsidRDefault="00610F70" w:rsidP="00610F70">
      <w:pPr>
        <w:pStyle w:val="Normln-Psmeno"/>
        <w:jc w:val="left"/>
      </w:pPr>
      <w:r w:rsidRPr="00CB36BF">
        <w:t>Návrh opatření k odstranění neshod zjištěných v průběhu analýzy</w:t>
      </w:r>
      <w:r w:rsidR="00BA2A52" w:rsidRPr="00CB36BF">
        <w:t>.</w:t>
      </w:r>
    </w:p>
    <w:p w14:paraId="277528A2" w14:textId="77777777" w:rsidR="00530341" w:rsidRPr="00CB36BF" w:rsidRDefault="00530341" w:rsidP="00A207CA">
      <w:pPr>
        <w:pStyle w:val="Normln-Odstavec"/>
        <w:jc w:val="left"/>
      </w:pPr>
      <w:r w:rsidRPr="00CB36BF">
        <w:t xml:space="preserve">Výstupem </w:t>
      </w:r>
      <w:proofErr w:type="spellStart"/>
      <w:r w:rsidRPr="00CB36BF">
        <w:t>předimplementační</w:t>
      </w:r>
      <w:proofErr w:type="spellEnd"/>
      <w:r w:rsidRPr="00CB36BF">
        <w:t xml:space="preserve"> analýzy bude písemná zpráva</w:t>
      </w:r>
      <w:r w:rsidR="00654825" w:rsidRPr="00CB36BF">
        <w:t>,</w:t>
      </w:r>
      <w:r w:rsidR="009312E0" w:rsidRPr="00CB36BF">
        <w:t xml:space="preserve"> kter</w:t>
      </w:r>
      <w:r w:rsidR="00654825" w:rsidRPr="00CB36BF">
        <w:t xml:space="preserve">á podléhá </w:t>
      </w:r>
      <w:r w:rsidR="00A207CA" w:rsidRPr="00CB36BF">
        <w:t>schválení Zadavatelem</w:t>
      </w:r>
      <w:r w:rsidR="00654825" w:rsidRPr="00CB36BF">
        <w:t>.</w:t>
      </w:r>
    </w:p>
    <w:p w14:paraId="54A49702" w14:textId="77777777" w:rsidR="00397D69" w:rsidRPr="00CB36BF" w:rsidRDefault="00397D69" w:rsidP="00434EE4">
      <w:pPr>
        <w:pStyle w:val="Nadpis3"/>
        <w:numPr>
          <w:ilvl w:val="2"/>
          <w:numId w:val="2"/>
        </w:numPr>
        <w:jc w:val="left"/>
        <w:rPr>
          <w:lang w:eastAsia="cs-CZ"/>
        </w:rPr>
      </w:pPr>
      <w:r w:rsidRPr="00CB36BF">
        <w:rPr>
          <w:lang w:eastAsia="cs-CZ"/>
        </w:rPr>
        <w:t>Požadavky na zpracování prováděcí dokumentace</w:t>
      </w:r>
    </w:p>
    <w:p w14:paraId="4941FE7E" w14:textId="77777777" w:rsidR="00397D69" w:rsidRPr="00CB36BF" w:rsidRDefault="00397D69" w:rsidP="00397D69">
      <w:pPr>
        <w:pStyle w:val="Normln-Odstavec"/>
        <w:jc w:val="left"/>
      </w:pPr>
      <w:r w:rsidRPr="00CB36BF">
        <w:t>Uchazeč před zahájením implementačních prací zpracuje prováděcí dokumentaci, která bude důsledně vycházet z </w:t>
      </w:r>
      <w:proofErr w:type="spellStart"/>
      <w:r w:rsidRPr="00CB36BF">
        <w:t>předimplementační</w:t>
      </w:r>
      <w:proofErr w:type="spellEnd"/>
      <w:r w:rsidRPr="00CB36BF">
        <w:t xml:space="preserve"> analýzy a bude zahrnovat všechny aktivity potřebné pro řádné zajištění implementace předmětu plnění do stávajícího prostředí technologického centra. </w:t>
      </w:r>
    </w:p>
    <w:p w14:paraId="03CD0EA7" w14:textId="77777777" w:rsidR="00397D69" w:rsidRPr="00CB36BF" w:rsidRDefault="00397D69" w:rsidP="00397D69">
      <w:pPr>
        <w:pStyle w:val="Normln-Odstavec"/>
        <w:jc w:val="left"/>
      </w:pPr>
      <w:r w:rsidRPr="00CB36BF">
        <w:t xml:space="preserve">Prováděcí dokumentace musí být před zahájením prací schválena zadavatelem. </w:t>
      </w:r>
    </w:p>
    <w:p w14:paraId="6CB7DF34" w14:textId="77777777" w:rsidR="00397D69" w:rsidRPr="00CB36BF" w:rsidRDefault="00397D69" w:rsidP="00397D69">
      <w:pPr>
        <w:pStyle w:val="Normln-Odstavec"/>
        <w:jc w:val="left"/>
      </w:pPr>
      <w:r w:rsidRPr="00CB36BF">
        <w:t>Prováděcí dokumentace musí zohlednit podmínky stávajícího stavu, požadavky cílového stavu a musí obsahovat minimálně tyto části:</w:t>
      </w:r>
    </w:p>
    <w:p w14:paraId="64FAB31E" w14:textId="77777777" w:rsidR="00397D69" w:rsidRPr="00CB36BF" w:rsidRDefault="00397D69" w:rsidP="00397D69">
      <w:pPr>
        <w:pStyle w:val="Normln-Psmeno"/>
        <w:jc w:val="left"/>
      </w:pPr>
      <w:r w:rsidRPr="00CB36BF">
        <w:t>Detailní popis cílového stavu včetně funkcionalit jednotlivých částí systému,</w:t>
      </w:r>
    </w:p>
    <w:p w14:paraId="00B66F07" w14:textId="77777777" w:rsidR="00397D69" w:rsidRPr="00CB36BF" w:rsidRDefault="00397D69" w:rsidP="00397D69">
      <w:pPr>
        <w:pStyle w:val="Normln-Psmeno"/>
        <w:jc w:val="left"/>
      </w:pPr>
      <w:r w:rsidRPr="00CB36BF">
        <w:t>Způsob zajištění potřebného HW a SW,</w:t>
      </w:r>
    </w:p>
    <w:p w14:paraId="71CE0CF2" w14:textId="77777777" w:rsidR="00397D69" w:rsidRPr="00CB36BF" w:rsidRDefault="00397D69" w:rsidP="00397D69">
      <w:pPr>
        <w:pStyle w:val="Normln-Psmeno"/>
        <w:jc w:val="left"/>
        <w:rPr>
          <w:bCs/>
        </w:rPr>
      </w:pPr>
      <w:r w:rsidRPr="00CB36BF">
        <w:rPr>
          <w:bCs/>
        </w:rPr>
        <w:t xml:space="preserve">Způsob zajištění koordinace realizace předmětu plnění </w:t>
      </w:r>
      <w:r w:rsidRPr="00CB36BF">
        <w:t>s běžným provozem,</w:t>
      </w:r>
    </w:p>
    <w:p w14:paraId="08D3A2F8" w14:textId="77777777" w:rsidR="00397D69" w:rsidRPr="00CB36BF" w:rsidRDefault="00397D69" w:rsidP="00397D69">
      <w:pPr>
        <w:pStyle w:val="Normln-Psmeno"/>
        <w:jc w:val="left"/>
      </w:pPr>
      <w:r w:rsidRPr="00CB36BF">
        <w:t>Detailní návrh a popis postupu implementace předmětu plnění,</w:t>
      </w:r>
    </w:p>
    <w:p w14:paraId="3A1FB745" w14:textId="77777777" w:rsidR="00397D69" w:rsidRPr="00CB36BF" w:rsidRDefault="00397D69" w:rsidP="00397D69">
      <w:pPr>
        <w:pStyle w:val="Normln-Psmeno"/>
        <w:jc w:val="left"/>
      </w:pPr>
      <w:r w:rsidRPr="00CB36BF">
        <w:t>Detailní popis zajištění bezpečnosti informací,</w:t>
      </w:r>
    </w:p>
    <w:p w14:paraId="6DC6AE3A" w14:textId="77777777" w:rsidR="00397D69" w:rsidRPr="00CB36BF" w:rsidRDefault="00397D69" w:rsidP="00397D69">
      <w:pPr>
        <w:pStyle w:val="Normln-Psmeno"/>
        <w:jc w:val="left"/>
      </w:pPr>
      <w:r w:rsidRPr="00CB36BF">
        <w:t>Detailní harmonogram projektu včetně uvedení kritických milníků,</w:t>
      </w:r>
    </w:p>
    <w:p w14:paraId="7A16D0F1" w14:textId="77777777" w:rsidR="00397D69" w:rsidRPr="00CB36BF" w:rsidRDefault="00E06F74" w:rsidP="00397D69">
      <w:pPr>
        <w:pStyle w:val="Normln-Psmeno"/>
        <w:jc w:val="left"/>
      </w:pPr>
      <w:r w:rsidRPr="00CB36BF">
        <w:t>Návrh designu úložišť a</w:t>
      </w:r>
      <w:r w:rsidR="00397D69" w:rsidRPr="00CB36BF">
        <w:t xml:space="preserve"> jeho konfigurace,</w:t>
      </w:r>
    </w:p>
    <w:p w14:paraId="585AA0B7" w14:textId="77777777" w:rsidR="00397D69" w:rsidRPr="00CB36BF" w:rsidRDefault="00397D69" w:rsidP="00397D69">
      <w:pPr>
        <w:pStyle w:val="Normln-Psmeno"/>
        <w:jc w:val="left"/>
      </w:pPr>
      <w:r w:rsidRPr="00CB36BF">
        <w:t xml:space="preserve">Návrh designu </w:t>
      </w:r>
      <w:r w:rsidR="00E06F74" w:rsidRPr="00CB36BF">
        <w:t>síťového řešení</w:t>
      </w:r>
      <w:r w:rsidRPr="00CB36BF">
        <w:t xml:space="preserve"> a jeho konfigurace,</w:t>
      </w:r>
    </w:p>
    <w:p w14:paraId="27D46D5D" w14:textId="77777777" w:rsidR="00BA2A52" w:rsidRPr="00CB36BF" w:rsidRDefault="00BA2A52" w:rsidP="00397D69">
      <w:pPr>
        <w:pStyle w:val="Normln-Psmeno"/>
        <w:jc w:val="left"/>
      </w:pPr>
      <w:r w:rsidRPr="00CB36BF">
        <w:t>Návrh monitorování řešení monitorovacími nástroji</w:t>
      </w:r>
    </w:p>
    <w:p w14:paraId="1B745D4F" w14:textId="77777777" w:rsidR="00397D69" w:rsidRPr="00CB36BF" w:rsidRDefault="00397D69" w:rsidP="00397D69">
      <w:pPr>
        <w:pStyle w:val="Normln-Psmeno"/>
        <w:jc w:val="left"/>
      </w:pPr>
      <w:r w:rsidRPr="00CB36BF">
        <w:t>Vazby na stávající systémy a jejich konfigurace,</w:t>
      </w:r>
    </w:p>
    <w:p w14:paraId="5A2C4EFA" w14:textId="77777777" w:rsidR="00397D69" w:rsidRPr="00CB36BF" w:rsidRDefault="00397D69" w:rsidP="00397D69">
      <w:pPr>
        <w:pStyle w:val="Normln-Psmeno"/>
        <w:jc w:val="left"/>
      </w:pPr>
      <w:r w:rsidRPr="00CB36BF">
        <w:t>Návrh akceptačních kritérií a akceptačních testů,</w:t>
      </w:r>
    </w:p>
    <w:p w14:paraId="70DEBE42" w14:textId="77777777" w:rsidR="00397D69" w:rsidRPr="00CB36BF" w:rsidRDefault="00397D69" w:rsidP="00397D69">
      <w:pPr>
        <w:pStyle w:val="Normln-Psmeno"/>
        <w:jc w:val="left"/>
      </w:pPr>
      <w:r w:rsidRPr="00CB36BF">
        <w:t>Detailní popis navrhovaných školení.</w:t>
      </w:r>
    </w:p>
    <w:p w14:paraId="2C35EA55" w14:textId="77777777" w:rsidR="00832ADA" w:rsidRPr="00CB36BF" w:rsidRDefault="00832ADA" w:rsidP="00434EE4">
      <w:pPr>
        <w:pStyle w:val="Nadpis3"/>
        <w:numPr>
          <w:ilvl w:val="2"/>
          <w:numId w:val="2"/>
        </w:numPr>
        <w:jc w:val="left"/>
        <w:rPr>
          <w:lang w:eastAsia="cs-CZ"/>
        </w:rPr>
      </w:pPr>
      <w:r w:rsidRPr="00CB36BF">
        <w:rPr>
          <w:lang w:eastAsia="cs-CZ"/>
        </w:rPr>
        <w:t>Požadavky na zajištění projektového vedení</w:t>
      </w:r>
    </w:p>
    <w:p w14:paraId="2B6B7833" w14:textId="77777777" w:rsidR="00832ADA" w:rsidRPr="00CB36BF" w:rsidRDefault="00832ADA" w:rsidP="00832ADA">
      <w:pPr>
        <w:pStyle w:val="Normln-Odstavec"/>
        <w:jc w:val="left"/>
      </w:pPr>
      <w:r w:rsidRPr="00CB36BF">
        <w:t xml:space="preserve">Uchazeč zajistí projektové vedení po celou dobu realizace zakázky certifikovaným specialistu. Součástí nabídky bude popis metodiky, která bude pro projektové řízení použita. </w:t>
      </w:r>
    </w:p>
    <w:p w14:paraId="2333E828" w14:textId="77777777" w:rsidR="00A1186F" w:rsidRPr="00296E07" w:rsidRDefault="00832ADA" w:rsidP="00832ADA">
      <w:pPr>
        <w:pStyle w:val="Normln-Odstavec"/>
        <w:jc w:val="left"/>
      </w:pPr>
      <w:r w:rsidRPr="00CB36BF">
        <w:t xml:space="preserve">Zadavatel vyžaduje dodržení následujícího harmonogramu plnění – zde jsou uvedeny maximální možné lhůty pro jednotlivé kritické milníky. Údaj D značí datum podpisu smlouvy o </w:t>
      </w:r>
      <w:r w:rsidRPr="00296E07">
        <w:t>dílo. Čísla značí počet kalendářních dnů.</w:t>
      </w:r>
      <w:r w:rsidR="00A1186F">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3"/>
        <w:gridCol w:w="1600"/>
        <w:gridCol w:w="1597"/>
      </w:tblGrid>
      <w:tr w:rsidR="00A1186F" w:rsidRPr="001659C5" w14:paraId="24424FC8" w14:textId="77777777" w:rsidTr="00520218">
        <w:trPr>
          <w:tblHeader/>
        </w:trPr>
        <w:tc>
          <w:tcPr>
            <w:tcW w:w="3126" w:type="pct"/>
            <w:shd w:val="clear" w:color="auto" w:fill="C6D9F1"/>
            <w:vAlign w:val="center"/>
          </w:tcPr>
          <w:p w14:paraId="195E1E46" w14:textId="77777777" w:rsidR="00A1186F" w:rsidRPr="001659C5" w:rsidRDefault="00A1186F" w:rsidP="00520218">
            <w:pPr>
              <w:jc w:val="left"/>
              <w:rPr>
                <w:rFonts w:ascii="Calibri" w:hAnsi="Calibri"/>
                <w:bCs/>
                <w:sz w:val="20"/>
              </w:rPr>
            </w:pPr>
            <w:r w:rsidRPr="001659C5">
              <w:rPr>
                <w:rFonts w:ascii="Calibri" w:hAnsi="Calibri"/>
                <w:bCs/>
                <w:sz w:val="20"/>
              </w:rPr>
              <w:t>Aktivita</w:t>
            </w:r>
          </w:p>
        </w:tc>
        <w:tc>
          <w:tcPr>
            <w:tcW w:w="938" w:type="pct"/>
            <w:shd w:val="clear" w:color="auto" w:fill="C6D9F1"/>
            <w:vAlign w:val="center"/>
          </w:tcPr>
          <w:p w14:paraId="4ABC31CE" w14:textId="77777777" w:rsidR="00A1186F" w:rsidRPr="001659C5" w:rsidDel="00F33D37" w:rsidRDefault="00A1186F" w:rsidP="00520218">
            <w:pPr>
              <w:jc w:val="left"/>
              <w:rPr>
                <w:rFonts w:ascii="Calibri" w:hAnsi="Calibri"/>
                <w:bCs/>
                <w:sz w:val="20"/>
              </w:rPr>
            </w:pPr>
            <w:r w:rsidRPr="001659C5">
              <w:rPr>
                <w:rFonts w:ascii="Calibri" w:hAnsi="Calibri"/>
                <w:bCs/>
                <w:sz w:val="20"/>
              </w:rPr>
              <w:t>Začátek</w:t>
            </w:r>
          </w:p>
        </w:tc>
        <w:tc>
          <w:tcPr>
            <w:tcW w:w="936" w:type="pct"/>
            <w:shd w:val="clear" w:color="auto" w:fill="C6D9F1"/>
            <w:vAlign w:val="center"/>
          </w:tcPr>
          <w:p w14:paraId="30CF8587" w14:textId="77777777" w:rsidR="00A1186F" w:rsidRPr="001659C5" w:rsidRDefault="00A1186F" w:rsidP="00520218">
            <w:pPr>
              <w:jc w:val="left"/>
              <w:rPr>
                <w:rFonts w:ascii="Calibri" w:hAnsi="Calibri"/>
                <w:bCs/>
                <w:sz w:val="20"/>
              </w:rPr>
            </w:pPr>
            <w:r w:rsidRPr="001659C5">
              <w:rPr>
                <w:rFonts w:ascii="Calibri" w:hAnsi="Calibri"/>
                <w:bCs/>
                <w:sz w:val="20"/>
              </w:rPr>
              <w:t>Termín</w:t>
            </w:r>
          </w:p>
        </w:tc>
      </w:tr>
      <w:tr w:rsidR="00A1186F" w:rsidRPr="001659C5" w14:paraId="2B6F3C5A" w14:textId="77777777" w:rsidTr="00520218">
        <w:tc>
          <w:tcPr>
            <w:tcW w:w="3126" w:type="pct"/>
            <w:shd w:val="clear" w:color="auto" w:fill="auto"/>
            <w:vAlign w:val="center"/>
          </w:tcPr>
          <w:p w14:paraId="1EFB66ED" w14:textId="77777777" w:rsidR="00A1186F" w:rsidRPr="001659C5" w:rsidRDefault="00A1186F" w:rsidP="00520218">
            <w:pPr>
              <w:jc w:val="left"/>
              <w:rPr>
                <w:rFonts w:ascii="Calibri" w:hAnsi="Calibri"/>
                <w:bCs/>
                <w:sz w:val="20"/>
              </w:rPr>
            </w:pPr>
            <w:r w:rsidRPr="001659C5">
              <w:rPr>
                <w:rFonts w:ascii="Calibri" w:hAnsi="Calibri"/>
                <w:bCs/>
                <w:sz w:val="20"/>
              </w:rPr>
              <w:t>Podpis smlouvy</w:t>
            </w:r>
          </w:p>
        </w:tc>
        <w:tc>
          <w:tcPr>
            <w:tcW w:w="938" w:type="pct"/>
            <w:shd w:val="clear" w:color="auto" w:fill="auto"/>
            <w:vAlign w:val="center"/>
          </w:tcPr>
          <w:p w14:paraId="2DA85F93" w14:textId="77777777" w:rsidR="00A1186F" w:rsidRPr="001659C5" w:rsidRDefault="00A1186F" w:rsidP="00520218">
            <w:pPr>
              <w:jc w:val="left"/>
              <w:rPr>
                <w:rFonts w:ascii="Calibri" w:hAnsi="Calibri"/>
                <w:sz w:val="20"/>
              </w:rPr>
            </w:pPr>
            <w:r w:rsidRPr="001659C5">
              <w:rPr>
                <w:rFonts w:ascii="Calibri" w:hAnsi="Calibri"/>
                <w:sz w:val="20"/>
              </w:rPr>
              <w:t>D</w:t>
            </w:r>
          </w:p>
        </w:tc>
        <w:tc>
          <w:tcPr>
            <w:tcW w:w="936" w:type="pct"/>
            <w:shd w:val="clear" w:color="auto" w:fill="auto"/>
            <w:vAlign w:val="center"/>
          </w:tcPr>
          <w:p w14:paraId="2F675D33" w14:textId="77777777" w:rsidR="00A1186F" w:rsidRPr="001659C5" w:rsidRDefault="00A1186F" w:rsidP="00520218">
            <w:pPr>
              <w:jc w:val="left"/>
              <w:rPr>
                <w:rFonts w:ascii="Calibri" w:hAnsi="Calibri"/>
                <w:sz w:val="20"/>
              </w:rPr>
            </w:pPr>
            <w:r w:rsidRPr="001659C5">
              <w:rPr>
                <w:rFonts w:ascii="Calibri" w:hAnsi="Calibri"/>
                <w:sz w:val="20"/>
              </w:rPr>
              <w:t>D</w:t>
            </w:r>
          </w:p>
        </w:tc>
      </w:tr>
      <w:tr w:rsidR="00A1186F" w:rsidRPr="001659C5" w14:paraId="7848B932" w14:textId="77777777" w:rsidTr="00520218">
        <w:tc>
          <w:tcPr>
            <w:tcW w:w="3126" w:type="pct"/>
            <w:shd w:val="clear" w:color="auto" w:fill="auto"/>
            <w:vAlign w:val="center"/>
          </w:tcPr>
          <w:p w14:paraId="656B25D4" w14:textId="77777777" w:rsidR="00A1186F" w:rsidRPr="001659C5" w:rsidRDefault="00A1186F" w:rsidP="00520218">
            <w:pPr>
              <w:jc w:val="left"/>
              <w:rPr>
                <w:rFonts w:ascii="Calibri" w:hAnsi="Calibri"/>
                <w:bCs/>
                <w:sz w:val="20"/>
              </w:rPr>
            </w:pPr>
            <w:r w:rsidRPr="001659C5">
              <w:rPr>
                <w:rFonts w:ascii="Calibri" w:hAnsi="Calibri"/>
                <w:bCs/>
                <w:sz w:val="20"/>
              </w:rPr>
              <w:t>Zahájení projektu – úvodní projektová schůzka</w:t>
            </w:r>
          </w:p>
        </w:tc>
        <w:tc>
          <w:tcPr>
            <w:tcW w:w="938" w:type="pct"/>
            <w:shd w:val="clear" w:color="auto" w:fill="auto"/>
            <w:vAlign w:val="center"/>
          </w:tcPr>
          <w:p w14:paraId="5A972DC0" w14:textId="77777777" w:rsidR="00A1186F" w:rsidRPr="001659C5" w:rsidRDefault="00A1186F" w:rsidP="00520218">
            <w:pPr>
              <w:jc w:val="left"/>
              <w:rPr>
                <w:rFonts w:ascii="Calibri" w:hAnsi="Calibri"/>
                <w:sz w:val="20"/>
              </w:rPr>
            </w:pPr>
            <w:r w:rsidRPr="001659C5">
              <w:rPr>
                <w:rFonts w:ascii="Calibri" w:hAnsi="Calibri"/>
                <w:sz w:val="20"/>
              </w:rPr>
              <w:t>D</w:t>
            </w:r>
          </w:p>
        </w:tc>
        <w:tc>
          <w:tcPr>
            <w:tcW w:w="936" w:type="pct"/>
            <w:shd w:val="clear" w:color="auto" w:fill="auto"/>
            <w:vAlign w:val="center"/>
          </w:tcPr>
          <w:p w14:paraId="74C302A0" w14:textId="77777777" w:rsidR="00A1186F" w:rsidRPr="001659C5" w:rsidRDefault="00A1186F" w:rsidP="00520218">
            <w:pPr>
              <w:jc w:val="left"/>
              <w:rPr>
                <w:rFonts w:ascii="Calibri" w:hAnsi="Calibri"/>
                <w:sz w:val="20"/>
              </w:rPr>
            </w:pPr>
            <w:r w:rsidRPr="001659C5">
              <w:rPr>
                <w:rFonts w:ascii="Calibri" w:hAnsi="Calibri"/>
                <w:sz w:val="20"/>
              </w:rPr>
              <w:t>D+7</w:t>
            </w:r>
          </w:p>
        </w:tc>
      </w:tr>
      <w:tr w:rsidR="00A1186F" w:rsidRPr="001659C5" w14:paraId="45DA6C27" w14:textId="77777777" w:rsidTr="00520218">
        <w:tc>
          <w:tcPr>
            <w:tcW w:w="3126" w:type="pct"/>
            <w:shd w:val="clear" w:color="auto" w:fill="auto"/>
            <w:vAlign w:val="center"/>
          </w:tcPr>
          <w:p w14:paraId="18F5A3C9" w14:textId="77777777" w:rsidR="00A1186F" w:rsidRPr="001659C5" w:rsidRDefault="00A1186F" w:rsidP="00520218">
            <w:pPr>
              <w:jc w:val="left"/>
              <w:rPr>
                <w:rFonts w:ascii="Calibri" w:hAnsi="Calibri"/>
                <w:bCs/>
                <w:sz w:val="20"/>
              </w:rPr>
            </w:pPr>
            <w:proofErr w:type="spellStart"/>
            <w:r w:rsidRPr="001659C5">
              <w:rPr>
                <w:rFonts w:ascii="Calibri" w:hAnsi="Calibri"/>
                <w:bCs/>
                <w:sz w:val="20"/>
              </w:rPr>
              <w:lastRenderedPageBreak/>
              <w:t>Předimplementační</w:t>
            </w:r>
            <w:proofErr w:type="spellEnd"/>
            <w:r w:rsidRPr="001659C5">
              <w:rPr>
                <w:rFonts w:ascii="Calibri" w:hAnsi="Calibri"/>
                <w:bCs/>
                <w:sz w:val="20"/>
              </w:rPr>
              <w:t xml:space="preserve"> analýza - zpracování</w:t>
            </w:r>
          </w:p>
        </w:tc>
        <w:tc>
          <w:tcPr>
            <w:tcW w:w="938" w:type="pct"/>
            <w:shd w:val="clear" w:color="auto" w:fill="auto"/>
            <w:vAlign w:val="center"/>
          </w:tcPr>
          <w:p w14:paraId="229909CC" w14:textId="77777777" w:rsidR="00A1186F" w:rsidRPr="001659C5" w:rsidRDefault="00A1186F" w:rsidP="00520218">
            <w:pPr>
              <w:jc w:val="left"/>
              <w:rPr>
                <w:rFonts w:ascii="Calibri" w:hAnsi="Calibri"/>
                <w:sz w:val="20"/>
              </w:rPr>
            </w:pPr>
            <w:r w:rsidRPr="001659C5">
              <w:rPr>
                <w:rFonts w:ascii="Calibri" w:hAnsi="Calibri"/>
                <w:sz w:val="20"/>
              </w:rPr>
              <w:t>D+7</w:t>
            </w:r>
          </w:p>
        </w:tc>
        <w:tc>
          <w:tcPr>
            <w:tcW w:w="936" w:type="pct"/>
            <w:shd w:val="clear" w:color="auto" w:fill="auto"/>
            <w:vAlign w:val="center"/>
          </w:tcPr>
          <w:p w14:paraId="64199E4A" w14:textId="77777777" w:rsidR="00A1186F" w:rsidRPr="001659C5" w:rsidRDefault="00A1186F" w:rsidP="00520218">
            <w:pPr>
              <w:jc w:val="left"/>
              <w:rPr>
                <w:rFonts w:ascii="Calibri" w:hAnsi="Calibri"/>
                <w:sz w:val="20"/>
              </w:rPr>
            </w:pPr>
            <w:r w:rsidRPr="001659C5">
              <w:rPr>
                <w:rFonts w:ascii="Calibri" w:hAnsi="Calibri"/>
                <w:sz w:val="20"/>
              </w:rPr>
              <w:t>D+17</w:t>
            </w:r>
          </w:p>
        </w:tc>
      </w:tr>
      <w:tr w:rsidR="00A1186F" w:rsidRPr="001659C5" w14:paraId="73CA2643" w14:textId="77777777" w:rsidTr="00520218">
        <w:tc>
          <w:tcPr>
            <w:tcW w:w="3126" w:type="pct"/>
            <w:shd w:val="clear" w:color="auto" w:fill="auto"/>
            <w:vAlign w:val="center"/>
          </w:tcPr>
          <w:p w14:paraId="6773E3E4" w14:textId="77777777" w:rsidR="00A1186F" w:rsidRPr="001659C5" w:rsidRDefault="00A1186F" w:rsidP="00520218">
            <w:pPr>
              <w:jc w:val="left"/>
              <w:rPr>
                <w:rFonts w:ascii="Calibri" w:hAnsi="Calibri"/>
                <w:bCs/>
                <w:sz w:val="20"/>
              </w:rPr>
            </w:pPr>
            <w:proofErr w:type="spellStart"/>
            <w:r w:rsidRPr="001659C5">
              <w:rPr>
                <w:rFonts w:ascii="Calibri" w:hAnsi="Calibri"/>
                <w:bCs/>
                <w:sz w:val="20"/>
              </w:rPr>
              <w:t>Předimplementační</w:t>
            </w:r>
            <w:proofErr w:type="spellEnd"/>
            <w:r w:rsidRPr="001659C5">
              <w:rPr>
                <w:rFonts w:ascii="Calibri" w:hAnsi="Calibri"/>
                <w:bCs/>
                <w:sz w:val="20"/>
              </w:rPr>
              <w:t xml:space="preserve"> analýza – připomínkové řízení, schválení</w:t>
            </w:r>
          </w:p>
        </w:tc>
        <w:tc>
          <w:tcPr>
            <w:tcW w:w="938" w:type="pct"/>
            <w:shd w:val="clear" w:color="auto" w:fill="auto"/>
            <w:vAlign w:val="center"/>
          </w:tcPr>
          <w:p w14:paraId="63FA85DB" w14:textId="77777777" w:rsidR="00A1186F" w:rsidRPr="001659C5" w:rsidRDefault="00A1186F" w:rsidP="00520218">
            <w:pPr>
              <w:jc w:val="left"/>
              <w:rPr>
                <w:rFonts w:ascii="Calibri" w:hAnsi="Calibri"/>
                <w:sz w:val="20"/>
              </w:rPr>
            </w:pPr>
            <w:r>
              <w:rPr>
                <w:rFonts w:ascii="Calibri" w:hAnsi="Calibri"/>
                <w:sz w:val="20"/>
              </w:rPr>
              <w:t>D+17</w:t>
            </w:r>
          </w:p>
        </w:tc>
        <w:tc>
          <w:tcPr>
            <w:tcW w:w="936" w:type="pct"/>
            <w:shd w:val="clear" w:color="auto" w:fill="auto"/>
            <w:vAlign w:val="center"/>
          </w:tcPr>
          <w:p w14:paraId="1CEE0F35" w14:textId="77777777" w:rsidR="00A1186F" w:rsidRPr="001659C5" w:rsidRDefault="00A1186F" w:rsidP="00520218">
            <w:pPr>
              <w:jc w:val="left"/>
              <w:rPr>
                <w:rFonts w:ascii="Calibri" w:hAnsi="Calibri"/>
                <w:sz w:val="20"/>
              </w:rPr>
            </w:pPr>
            <w:r w:rsidRPr="001659C5">
              <w:rPr>
                <w:rFonts w:ascii="Calibri" w:hAnsi="Calibri"/>
                <w:sz w:val="20"/>
              </w:rPr>
              <w:t>D+24</w:t>
            </w:r>
          </w:p>
        </w:tc>
      </w:tr>
      <w:tr w:rsidR="00A1186F" w:rsidRPr="001659C5" w14:paraId="5AA120F3" w14:textId="77777777" w:rsidTr="00520218">
        <w:tc>
          <w:tcPr>
            <w:tcW w:w="3126" w:type="pct"/>
            <w:shd w:val="clear" w:color="auto" w:fill="auto"/>
            <w:vAlign w:val="center"/>
          </w:tcPr>
          <w:p w14:paraId="2D2AD985" w14:textId="77777777" w:rsidR="00A1186F" w:rsidRPr="001659C5" w:rsidRDefault="00A1186F" w:rsidP="00520218">
            <w:pPr>
              <w:jc w:val="left"/>
              <w:rPr>
                <w:rFonts w:ascii="Calibri" w:hAnsi="Calibri"/>
                <w:bCs/>
                <w:sz w:val="20"/>
              </w:rPr>
            </w:pPr>
            <w:r w:rsidRPr="001659C5">
              <w:rPr>
                <w:rFonts w:ascii="Calibri" w:hAnsi="Calibri"/>
                <w:bCs/>
                <w:sz w:val="20"/>
              </w:rPr>
              <w:t>Prováděcí dokumentace – zpracování</w:t>
            </w:r>
          </w:p>
        </w:tc>
        <w:tc>
          <w:tcPr>
            <w:tcW w:w="938" w:type="pct"/>
            <w:shd w:val="clear" w:color="auto" w:fill="auto"/>
            <w:vAlign w:val="center"/>
          </w:tcPr>
          <w:p w14:paraId="5FE77C7C" w14:textId="77777777" w:rsidR="00A1186F" w:rsidRPr="001659C5" w:rsidRDefault="00A1186F" w:rsidP="00520218">
            <w:pPr>
              <w:jc w:val="left"/>
              <w:rPr>
                <w:rFonts w:ascii="Calibri" w:hAnsi="Calibri"/>
                <w:sz w:val="20"/>
              </w:rPr>
            </w:pPr>
            <w:r w:rsidRPr="001659C5">
              <w:rPr>
                <w:rFonts w:ascii="Calibri" w:hAnsi="Calibri"/>
                <w:sz w:val="20"/>
              </w:rPr>
              <w:t>D+24</w:t>
            </w:r>
          </w:p>
        </w:tc>
        <w:tc>
          <w:tcPr>
            <w:tcW w:w="936" w:type="pct"/>
            <w:shd w:val="clear" w:color="auto" w:fill="auto"/>
            <w:vAlign w:val="center"/>
          </w:tcPr>
          <w:p w14:paraId="4E9F9197" w14:textId="77777777" w:rsidR="00A1186F" w:rsidRPr="001659C5" w:rsidRDefault="00A1186F" w:rsidP="00520218">
            <w:pPr>
              <w:jc w:val="left"/>
              <w:rPr>
                <w:rFonts w:ascii="Calibri" w:hAnsi="Calibri"/>
                <w:sz w:val="20"/>
              </w:rPr>
            </w:pPr>
            <w:r w:rsidRPr="001659C5">
              <w:rPr>
                <w:rFonts w:ascii="Calibri" w:hAnsi="Calibri"/>
                <w:sz w:val="20"/>
              </w:rPr>
              <w:t>D+34</w:t>
            </w:r>
          </w:p>
        </w:tc>
      </w:tr>
      <w:tr w:rsidR="00A1186F" w:rsidRPr="001659C5" w14:paraId="1F957DAE" w14:textId="77777777" w:rsidTr="00520218">
        <w:tc>
          <w:tcPr>
            <w:tcW w:w="3126" w:type="pct"/>
            <w:shd w:val="clear" w:color="auto" w:fill="auto"/>
            <w:vAlign w:val="center"/>
          </w:tcPr>
          <w:p w14:paraId="7279F4F9" w14:textId="77777777" w:rsidR="00A1186F" w:rsidRPr="001659C5" w:rsidRDefault="00A1186F" w:rsidP="00520218">
            <w:pPr>
              <w:jc w:val="left"/>
              <w:rPr>
                <w:rFonts w:ascii="Calibri" w:hAnsi="Calibri"/>
                <w:bCs/>
                <w:sz w:val="20"/>
              </w:rPr>
            </w:pPr>
            <w:r w:rsidRPr="001659C5">
              <w:rPr>
                <w:rFonts w:ascii="Calibri" w:hAnsi="Calibri"/>
                <w:bCs/>
                <w:sz w:val="20"/>
              </w:rPr>
              <w:t>Prováděcí dokumentace – připomínkové řízení, schválení</w:t>
            </w:r>
          </w:p>
        </w:tc>
        <w:tc>
          <w:tcPr>
            <w:tcW w:w="938" w:type="pct"/>
            <w:shd w:val="clear" w:color="auto" w:fill="auto"/>
            <w:vAlign w:val="center"/>
          </w:tcPr>
          <w:p w14:paraId="4BB7E779" w14:textId="77777777" w:rsidR="00A1186F" w:rsidRPr="001659C5" w:rsidRDefault="00A1186F" w:rsidP="00520218">
            <w:pPr>
              <w:jc w:val="left"/>
              <w:rPr>
                <w:rFonts w:ascii="Calibri" w:hAnsi="Calibri"/>
                <w:sz w:val="20"/>
              </w:rPr>
            </w:pPr>
            <w:r w:rsidRPr="001659C5">
              <w:rPr>
                <w:rFonts w:ascii="Calibri" w:hAnsi="Calibri"/>
                <w:sz w:val="20"/>
              </w:rPr>
              <w:t>D+34</w:t>
            </w:r>
          </w:p>
        </w:tc>
        <w:tc>
          <w:tcPr>
            <w:tcW w:w="936" w:type="pct"/>
            <w:shd w:val="clear" w:color="auto" w:fill="auto"/>
            <w:vAlign w:val="center"/>
          </w:tcPr>
          <w:p w14:paraId="6937DFE7" w14:textId="77777777" w:rsidR="00A1186F" w:rsidRPr="001659C5" w:rsidRDefault="00A1186F" w:rsidP="00520218">
            <w:pPr>
              <w:jc w:val="left"/>
              <w:rPr>
                <w:rFonts w:ascii="Calibri" w:hAnsi="Calibri"/>
                <w:sz w:val="20"/>
              </w:rPr>
            </w:pPr>
            <w:r>
              <w:rPr>
                <w:rFonts w:ascii="Calibri" w:hAnsi="Calibri"/>
                <w:sz w:val="20"/>
              </w:rPr>
              <w:t>D+40</w:t>
            </w:r>
          </w:p>
        </w:tc>
      </w:tr>
      <w:tr w:rsidR="00A1186F" w:rsidRPr="001659C5" w14:paraId="79826478" w14:textId="77777777" w:rsidTr="00520218">
        <w:tc>
          <w:tcPr>
            <w:tcW w:w="3126" w:type="pct"/>
            <w:shd w:val="clear" w:color="auto" w:fill="auto"/>
            <w:vAlign w:val="center"/>
          </w:tcPr>
          <w:p w14:paraId="4503511B" w14:textId="77777777" w:rsidR="00A1186F" w:rsidRPr="001659C5" w:rsidRDefault="00A1186F" w:rsidP="00520218">
            <w:pPr>
              <w:jc w:val="left"/>
              <w:rPr>
                <w:rFonts w:ascii="Calibri" w:hAnsi="Calibri"/>
                <w:bCs/>
                <w:sz w:val="20"/>
              </w:rPr>
            </w:pPr>
            <w:r w:rsidRPr="001659C5">
              <w:rPr>
                <w:rFonts w:ascii="Calibri" w:hAnsi="Calibri"/>
                <w:bCs/>
                <w:sz w:val="20"/>
              </w:rPr>
              <w:t>Realizace předmětu plnění</w:t>
            </w:r>
          </w:p>
        </w:tc>
        <w:tc>
          <w:tcPr>
            <w:tcW w:w="938" w:type="pct"/>
            <w:shd w:val="clear" w:color="auto" w:fill="auto"/>
            <w:vAlign w:val="center"/>
          </w:tcPr>
          <w:p w14:paraId="2B4B4AEE" w14:textId="77777777" w:rsidR="00A1186F" w:rsidRPr="001659C5" w:rsidRDefault="00A1186F" w:rsidP="00520218">
            <w:pPr>
              <w:jc w:val="left"/>
              <w:rPr>
                <w:rFonts w:ascii="Calibri" w:hAnsi="Calibri"/>
                <w:sz w:val="20"/>
              </w:rPr>
            </w:pPr>
            <w:r>
              <w:rPr>
                <w:rFonts w:ascii="Calibri" w:hAnsi="Calibri"/>
                <w:sz w:val="20"/>
              </w:rPr>
              <w:t>D+40</w:t>
            </w:r>
          </w:p>
        </w:tc>
        <w:tc>
          <w:tcPr>
            <w:tcW w:w="936" w:type="pct"/>
            <w:shd w:val="clear" w:color="auto" w:fill="auto"/>
            <w:vAlign w:val="center"/>
          </w:tcPr>
          <w:p w14:paraId="0286694D" w14:textId="77777777" w:rsidR="00A1186F" w:rsidRPr="001659C5" w:rsidRDefault="00A1186F" w:rsidP="00520218">
            <w:pPr>
              <w:jc w:val="left"/>
              <w:rPr>
                <w:rFonts w:ascii="Calibri" w:hAnsi="Calibri"/>
                <w:sz w:val="20"/>
              </w:rPr>
            </w:pPr>
            <w:r w:rsidRPr="001659C5">
              <w:rPr>
                <w:rFonts w:ascii="Calibri" w:hAnsi="Calibri"/>
                <w:sz w:val="20"/>
              </w:rPr>
              <w:t>D+</w:t>
            </w:r>
            <w:r>
              <w:rPr>
                <w:rFonts w:ascii="Calibri" w:hAnsi="Calibri"/>
                <w:sz w:val="20"/>
              </w:rPr>
              <w:t>100</w:t>
            </w:r>
          </w:p>
        </w:tc>
      </w:tr>
      <w:tr w:rsidR="00A1186F" w:rsidRPr="001659C5" w14:paraId="0AAAA6FC" w14:textId="77777777" w:rsidTr="00520218">
        <w:tc>
          <w:tcPr>
            <w:tcW w:w="3126" w:type="pct"/>
            <w:shd w:val="clear" w:color="auto" w:fill="auto"/>
            <w:vAlign w:val="center"/>
          </w:tcPr>
          <w:p w14:paraId="1A5543F6" w14:textId="77777777" w:rsidR="00A1186F" w:rsidRPr="001659C5" w:rsidRDefault="00A1186F" w:rsidP="00520218">
            <w:pPr>
              <w:jc w:val="left"/>
              <w:rPr>
                <w:rFonts w:ascii="Calibri" w:hAnsi="Calibri"/>
                <w:bCs/>
                <w:sz w:val="20"/>
              </w:rPr>
            </w:pPr>
            <w:r w:rsidRPr="001659C5">
              <w:rPr>
                <w:rFonts w:ascii="Calibri" w:hAnsi="Calibri"/>
                <w:bCs/>
                <w:sz w:val="20"/>
              </w:rPr>
              <w:t>Školení administrátorů</w:t>
            </w:r>
          </w:p>
        </w:tc>
        <w:tc>
          <w:tcPr>
            <w:tcW w:w="938" w:type="pct"/>
            <w:shd w:val="clear" w:color="auto" w:fill="auto"/>
            <w:vAlign w:val="center"/>
          </w:tcPr>
          <w:p w14:paraId="541D0237" w14:textId="77777777" w:rsidR="00A1186F" w:rsidRPr="001659C5" w:rsidRDefault="00A1186F" w:rsidP="00520218">
            <w:pPr>
              <w:jc w:val="left"/>
              <w:rPr>
                <w:rFonts w:ascii="Calibri" w:hAnsi="Calibri"/>
                <w:sz w:val="20"/>
              </w:rPr>
            </w:pPr>
            <w:r w:rsidRPr="001659C5">
              <w:rPr>
                <w:rFonts w:ascii="Calibri" w:hAnsi="Calibri"/>
                <w:sz w:val="20"/>
              </w:rPr>
              <w:t>D+</w:t>
            </w:r>
            <w:r>
              <w:rPr>
                <w:rFonts w:ascii="Calibri" w:hAnsi="Calibri"/>
                <w:sz w:val="20"/>
              </w:rPr>
              <w:t>40</w:t>
            </w:r>
          </w:p>
        </w:tc>
        <w:tc>
          <w:tcPr>
            <w:tcW w:w="936" w:type="pct"/>
            <w:shd w:val="clear" w:color="auto" w:fill="auto"/>
            <w:vAlign w:val="center"/>
          </w:tcPr>
          <w:p w14:paraId="77EAED9D" w14:textId="77777777" w:rsidR="00A1186F" w:rsidRPr="001659C5" w:rsidRDefault="00A1186F" w:rsidP="00520218">
            <w:pPr>
              <w:jc w:val="left"/>
              <w:rPr>
                <w:rFonts w:ascii="Calibri" w:hAnsi="Calibri"/>
                <w:sz w:val="20"/>
              </w:rPr>
            </w:pPr>
            <w:r w:rsidRPr="001659C5">
              <w:rPr>
                <w:rFonts w:ascii="Calibri" w:hAnsi="Calibri"/>
                <w:sz w:val="20"/>
              </w:rPr>
              <w:t>D+</w:t>
            </w:r>
            <w:r>
              <w:rPr>
                <w:rFonts w:ascii="Calibri" w:hAnsi="Calibri"/>
                <w:sz w:val="20"/>
              </w:rPr>
              <w:t>110</w:t>
            </w:r>
          </w:p>
        </w:tc>
      </w:tr>
      <w:tr w:rsidR="00A1186F" w:rsidRPr="001659C5" w14:paraId="3211B2EA" w14:textId="77777777" w:rsidTr="00520218">
        <w:tc>
          <w:tcPr>
            <w:tcW w:w="3126" w:type="pct"/>
            <w:shd w:val="clear" w:color="auto" w:fill="auto"/>
            <w:vAlign w:val="center"/>
          </w:tcPr>
          <w:p w14:paraId="4FD4CA44" w14:textId="77777777" w:rsidR="00A1186F" w:rsidRPr="001659C5" w:rsidRDefault="00A1186F" w:rsidP="00520218">
            <w:pPr>
              <w:jc w:val="left"/>
              <w:rPr>
                <w:rFonts w:ascii="Calibri" w:hAnsi="Calibri"/>
                <w:bCs/>
                <w:sz w:val="20"/>
              </w:rPr>
            </w:pPr>
            <w:r w:rsidRPr="001659C5">
              <w:rPr>
                <w:rFonts w:ascii="Calibri" w:hAnsi="Calibri"/>
                <w:bCs/>
                <w:sz w:val="20"/>
              </w:rPr>
              <w:t>Zkušební provoz</w:t>
            </w:r>
          </w:p>
        </w:tc>
        <w:tc>
          <w:tcPr>
            <w:tcW w:w="938" w:type="pct"/>
            <w:shd w:val="clear" w:color="auto" w:fill="auto"/>
            <w:vAlign w:val="center"/>
          </w:tcPr>
          <w:p w14:paraId="31607FCD" w14:textId="77777777" w:rsidR="00A1186F" w:rsidRPr="001659C5" w:rsidRDefault="00A1186F" w:rsidP="00520218">
            <w:pPr>
              <w:jc w:val="left"/>
              <w:rPr>
                <w:rFonts w:ascii="Calibri" w:hAnsi="Calibri"/>
                <w:sz w:val="20"/>
              </w:rPr>
            </w:pPr>
            <w:r w:rsidRPr="001659C5">
              <w:rPr>
                <w:rFonts w:ascii="Calibri" w:hAnsi="Calibri"/>
                <w:sz w:val="20"/>
              </w:rPr>
              <w:t>D+</w:t>
            </w:r>
            <w:r>
              <w:rPr>
                <w:rFonts w:ascii="Calibri" w:hAnsi="Calibri"/>
                <w:sz w:val="20"/>
              </w:rPr>
              <w:t>100</w:t>
            </w:r>
          </w:p>
        </w:tc>
        <w:tc>
          <w:tcPr>
            <w:tcW w:w="936" w:type="pct"/>
            <w:shd w:val="clear" w:color="auto" w:fill="auto"/>
            <w:vAlign w:val="center"/>
          </w:tcPr>
          <w:p w14:paraId="5E13A0EE" w14:textId="77777777" w:rsidR="00A1186F" w:rsidRPr="001659C5" w:rsidRDefault="00A1186F" w:rsidP="00520218">
            <w:pPr>
              <w:jc w:val="left"/>
              <w:rPr>
                <w:rFonts w:ascii="Calibri" w:hAnsi="Calibri"/>
                <w:sz w:val="20"/>
              </w:rPr>
            </w:pPr>
            <w:r w:rsidRPr="001659C5">
              <w:rPr>
                <w:rFonts w:ascii="Calibri" w:hAnsi="Calibri"/>
                <w:sz w:val="20"/>
              </w:rPr>
              <w:t>D+</w:t>
            </w:r>
            <w:r>
              <w:rPr>
                <w:rFonts w:ascii="Calibri" w:hAnsi="Calibri"/>
                <w:sz w:val="20"/>
              </w:rPr>
              <w:t>110</w:t>
            </w:r>
          </w:p>
        </w:tc>
      </w:tr>
      <w:tr w:rsidR="00A1186F" w:rsidRPr="001659C5" w14:paraId="0E7A7985" w14:textId="77777777" w:rsidTr="00520218">
        <w:tc>
          <w:tcPr>
            <w:tcW w:w="3126" w:type="pct"/>
            <w:shd w:val="clear" w:color="auto" w:fill="auto"/>
            <w:vAlign w:val="center"/>
          </w:tcPr>
          <w:p w14:paraId="6C09766C" w14:textId="77777777" w:rsidR="00A1186F" w:rsidRPr="001659C5" w:rsidRDefault="00A1186F" w:rsidP="00520218">
            <w:pPr>
              <w:jc w:val="left"/>
              <w:rPr>
                <w:rFonts w:ascii="Calibri" w:hAnsi="Calibri"/>
                <w:bCs/>
                <w:sz w:val="20"/>
              </w:rPr>
            </w:pPr>
            <w:r w:rsidRPr="001659C5">
              <w:rPr>
                <w:rFonts w:ascii="Calibri" w:hAnsi="Calibri"/>
                <w:bCs/>
                <w:sz w:val="20"/>
              </w:rPr>
              <w:t>Akceptační testy</w:t>
            </w:r>
          </w:p>
        </w:tc>
        <w:tc>
          <w:tcPr>
            <w:tcW w:w="938" w:type="pct"/>
            <w:shd w:val="clear" w:color="auto" w:fill="auto"/>
            <w:vAlign w:val="center"/>
          </w:tcPr>
          <w:p w14:paraId="42110F03" w14:textId="77777777" w:rsidR="00A1186F" w:rsidRPr="001659C5" w:rsidRDefault="00A1186F" w:rsidP="00520218">
            <w:pPr>
              <w:jc w:val="left"/>
              <w:rPr>
                <w:rFonts w:ascii="Calibri" w:hAnsi="Calibri"/>
                <w:sz w:val="20"/>
              </w:rPr>
            </w:pPr>
            <w:r w:rsidRPr="001659C5">
              <w:rPr>
                <w:rFonts w:ascii="Calibri" w:hAnsi="Calibri"/>
                <w:sz w:val="20"/>
              </w:rPr>
              <w:t>D+</w:t>
            </w:r>
            <w:r>
              <w:rPr>
                <w:rFonts w:ascii="Calibri" w:hAnsi="Calibri"/>
                <w:sz w:val="20"/>
              </w:rPr>
              <w:t>110</w:t>
            </w:r>
          </w:p>
        </w:tc>
        <w:tc>
          <w:tcPr>
            <w:tcW w:w="936" w:type="pct"/>
            <w:shd w:val="clear" w:color="auto" w:fill="auto"/>
            <w:vAlign w:val="center"/>
          </w:tcPr>
          <w:p w14:paraId="2379B0A5" w14:textId="77777777" w:rsidR="00A1186F" w:rsidRPr="001659C5" w:rsidRDefault="00A1186F" w:rsidP="00520218">
            <w:pPr>
              <w:jc w:val="left"/>
              <w:rPr>
                <w:rFonts w:ascii="Calibri" w:hAnsi="Calibri"/>
                <w:sz w:val="20"/>
              </w:rPr>
            </w:pPr>
            <w:r w:rsidRPr="001659C5">
              <w:rPr>
                <w:rFonts w:ascii="Calibri" w:hAnsi="Calibri"/>
                <w:sz w:val="20"/>
              </w:rPr>
              <w:t>D+</w:t>
            </w:r>
            <w:r>
              <w:rPr>
                <w:rFonts w:ascii="Calibri" w:hAnsi="Calibri"/>
                <w:sz w:val="20"/>
              </w:rPr>
              <w:t>120</w:t>
            </w:r>
          </w:p>
        </w:tc>
      </w:tr>
      <w:tr w:rsidR="00A1186F" w:rsidRPr="001659C5" w14:paraId="4E4C1B6D" w14:textId="77777777" w:rsidTr="00520218">
        <w:tc>
          <w:tcPr>
            <w:tcW w:w="3126" w:type="pct"/>
            <w:shd w:val="clear" w:color="auto" w:fill="auto"/>
            <w:vAlign w:val="center"/>
          </w:tcPr>
          <w:p w14:paraId="0B94930D" w14:textId="77777777" w:rsidR="00A1186F" w:rsidRPr="001659C5" w:rsidRDefault="00A1186F" w:rsidP="00520218">
            <w:pPr>
              <w:jc w:val="left"/>
              <w:rPr>
                <w:rFonts w:ascii="Calibri" w:hAnsi="Calibri"/>
                <w:bCs/>
                <w:sz w:val="20"/>
              </w:rPr>
            </w:pPr>
            <w:r w:rsidRPr="001659C5">
              <w:rPr>
                <w:rFonts w:ascii="Calibri" w:hAnsi="Calibri"/>
                <w:bCs/>
                <w:sz w:val="20"/>
              </w:rPr>
              <w:t>Zahájení ostrého provozu</w:t>
            </w:r>
          </w:p>
        </w:tc>
        <w:tc>
          <w:tcPr>
            <w:tcW w:w="938" w:type="pct"/>
            <w:shd w:val="clear" w:color="auto" w:fill="auto"/>
            <w:vAlign w:val="center"/>
          </w:tcPr>
          <w:p w14:paraId="5DDA01E2" w14:textId="77777777" w:rsidR="00A1186F" w:rsidRPr="001659C5" w:rsidRDefault="00A1186F" w:rsidP="00520218">
            <w:pPr>
              <w:jc w:val="left"/>
              <w:rPr>
                <w:rFonts w:ascii="Calibri" w:hAnsi="Calibri"/>
                <w:sz w:val="20"/>
              </w:rPr>
            </w:pPr>
            <w:r w:rsidRPr="001659C5">
              <w:rPr>
                <w:rFonts w:ascii="Calibri" w:hAnsi="Calibri"/>
                <w:sz w:val="20"/>
              </w:rPr>
              <w:t>D+</w:t>
            </w:r>
            <w:r>
              <w:rPr>
                <w:rFonts w:ascii="Calibri" w:hAnsi="Calibri"/>
                <w:sz w:val="20"/>
              </w:rPr>
              <w:t>120</w:t>
            </w:r>
          </w:p>
        </w:tc>
        <w:tc>
          <w:tcPr>
            <w:tcW w:w="936" w:type="pct"/>
            <w:shd w:val="clear" w:color="auto" w:fill="auto"/>
            <w:vAlign w:val="center"/>
          </w:tcPr>
          <w:p w14:paraId="0F8722BB" w14:textId="77777777" w:rsidR="00A1186F" w:rsidRPr="001659C5" w:rsidRDefault="00A1186F" w:rsidP="00520218">
            <w:pPr>
              <w:jc w:val="left"/>
              <w:rPr>
                <w:rFonts w:ascii="Calibri" w:hAnsi="Calibri"/>
                <w:sz w:val="20"/>
              </w:rPr>
            </w:pPr>
            <w:r w:rsidRPr="001659C5">
              <w:rPr>
                <w:rFonts w:ascii="Calibri" w:hAnsi="Calibri"/>
                <w:sz w:val="20"/>
              </w:rPr>
              <w:t xml:space="preserve"> -</w:t>
            </w:r>
          </w:p>
        </w:tc>
      </w:tr>
      <w:tr w:rsidR="00A1186F" w:rsidRPr="001659C5" w14:paraId="67196AE7" w14:textId="77777777" w:rsidTr="00520218">
        <w:tc>
          <w:tcPr>
            <w:tcW w:w="3126" w:type="pct"/>
            <w:shd w:val="clear" w:color="auto" w:fill="auto"/>
            <w:vAlign w:val="center"/>
          </w:tcPr>
          <w:p w14:paraId="58C506FA" w14:textId="77777777" w:rsidR="00A1186F" w:rsidRPr="001659C5" w:rsidRDefault="00A1186F" w:rsidP="00520218">
            <w:pPr>
              <w:jc w:val="left"/>
              <w:rPr>
                <w:rFonts w:ascii="Calibri" w:hAnsi="Calibri"/>
                <w:bCs/>
                <w:sz w:val="20"/>
              </w:rPr>
            </w:pPr>
            <w:r w:rsidRPr="001659C5">
              <w:rPr>
                <w:rFonts w:ascii="Calibri" w:hAnsi="Calibri"/>
                <w:bCs/>
                <w:sz w:val="20"/>
              </w:rPr>
              <w:t>Rezerva projektu</w:t>
            </w:r>
          </w:p>
        </w:tc>
        <w:tc>
          <w:tcPr>
            <w:tcW w:w="938" w:type="pct"/>
            <w:shd w:val="clear" w:color="auto" w:fill="auto"/>
            <w:vAlign w:val="center"/>
          </w:tcPr>
          <w:p w14:paraId="19A9919E" w14:textId="77777777" w:rsidR="00A1186F" w:rsidRPr="001659C5" w:rsidRDefault="00A1186F" w:rsidP="00520218">
            <w:pPr>
              <w:jc w:val="left"/>
              <w:rPr>
                <w:rFonts w:ascii="Calibri" w:hAnsi="Calibri"/>
                <w:sz w:val="20"/>
              </w:rPr>
            </w:pPr>
          </w:p>
        </w:tc>
        <w:tc>
          <w:tcPr>
            <w:tcW w:w="936" w:type="pct"/>
            <w:shd w:val="clear" w:color="auto" w:fill="auto"/>
            <w:vAlign w:val="center"/>
          </w:tcPr>
          <w:p w14:paraId="19442A5A" w14:textId="77777777" w:rsidR="00A1186F" w:rsidRPr="001659C5" w:rsidRDefault="00A1186F" w:rsidP="00520218">
            <w:pPr>
              <w:jc w:val="left"/>
              <w:rPr>
                <w:rFonts w:ascii="Calibri" w:hAnsi="Calibri"/>
                <w:sz w:val="20"/>
              </w:rPr>
            </w:pPr>
            <w:r w:rsidRPr="001659C5">
              <w:rPr>
                <w:rFonts w:ascii="Calibri" w:hAnsi="Calibri"/>
                <w:sz w:val="20"/>
              </w:rPr>
              <w:t>10</w:t>
            </w:r>
          </w:p>
        </w:tc>
      </w:tr>
    </w:tbl>
    <w:p w14:paraId="54EF14A4" w14:textId="7D32DC21" w:rsidR="00832ADA" w:rsidRPr="00296E07" w:rsidRDefault="00832ADA" w:rsidP="00A1186F">
      <w:pPr>
        <w:pStyle w:val="Normln-Odstavec"/>
        <w:numPr>
          <w:ilvl w:val="0"/>
          <w:numId w:val="0"/>
        </w:numPr>
        <w:jc w:val="left"/>
      </w:pPr>
    </w:p>
    <w:p w14:paraId="79A8C1B2" w14:textId="77777777" w:rsidR="00832ADA" w:rsidRPr="00CB36BF" w:rsidRDefault="00832ADA" w:rsidP="00832ADA">
      <w:pPr>
        <w:pStyle w:val="Normln-Odstavec"/>
        <w:jc w:val="left"/>
      </w:pPr>
      <w:r w:rsidRPr="00CB36BF">
        <w:t xml:space="preserve">Uchazeč může dle svého uvážení výše uvedené maximální lhůty trvání zkrátit při dodržení všech částí předmětu plnění a bez snížení kvality dodávaných služeb. </w:t>
      </w:r>
    </w:p>
    <w:p w14:paraId="5A1BD016" w14:textId="77777777" w:rsidR="00832ADA" w:rsidRPr="00CB36BF" w:rsidRDefault="00832ADA" w:rsidP="00832ADA">
      <w:pPr>
        <w:pStyle w:val="Normln-Odstavec"/>
        <w:jc w:val="left"/>
      </w:pPr>
      <w:r w:rsidRPr="00CB36BF">
        <w:t>Maximální lhůty trvání nesmí uchazeč při tvorbě detailního harmonogramu prodloužit.</w:t>
      </w:r>
    </w:p>
    <w:p w14:paraId="780AB0BC" w14:textId="77777777" w:rsidR="00832ADA" w:rsidRPr="00CB36BF" w:rsidRDefault="00832ADA" w:rsidP="00832ADA">
      <w:pPr>
        <w:pStyle w:val="Normln-Odstavec"/>
        <w:jc w:val="left"/>
      </w:pPr>
      <w:r w:rsidRPr="00CB36BF">
        <w:t>Uchazeč uvede závazný harmonogram plnění ve své nabídce a zároveň v návrhu smlouvy o dílo.</w:t>
      </w:r>
    </w:p>
    <w:p w14:paraId="4D2B06D8" w14:textId="77777777" w:rsidR="005B13EF" w:rsidRPr="00296E07" w:rsidRDefault="005B13EF" w:rsidP="005B13EF">
      <w:pPr>
        <w:pStyle w:val="Normln-Odstavec"/>
        <w:jc w:val="left"/>
      </w:pPr>
      <w:r w:rsidRPr="00296E07">
        <w:t>Uchazeč uvede potřebnou součinnost zadavatele pro splnění harmonogramu plnění ve své nabídce.</w:t>
      </w:r>
    </w:p>
    <w:p w14:paraId="06B271B3" w14:textId="77777777" w:rsidR="005B13EF" w:rsidRPr="00296E07" w:rsidRDefault="005B13EF" w:rsidP="00832ADA">
      <w:pPr>
        <w:pStyle w:val="Normln-Odstavec"/>
        <w:tabs>
          <w:tab w:val="left" w:pos="567"/>
        </w:tabs>
        <w:jc w:val="left"/>
      </w:pPr>
      <w:r w:rsidRPr="00296E07">
        <w:t xml:space="preserve">Nejpozdější termín pro zahájení ostrého provozu a ukončení </w:t>
      </w:r>
      <w:r w:rsidR="00B24C26" w:rsidRPr="00296E07">
        <w:t xml:space="preserve">implementační fáze </w:t>
      </w:r>
      <w:r w:rsidRPr="00296E07">
        <w:t xml:space="preserve">projektu </w:t>
      </w:r>
      <w:r w:rsidRPr="00520218">
        <w:t xml:space="preserve">je </w:t>
      </w:r>
      <w:r w:rsidR="006F7D89" w:rsidRPr="00E202E3">
        <w:rPr>
          <w:b/>
          <w:highlight w:val="yellow"/>
        </w:rPr>
        <w:t>30.11</w:t>
      </w:r>
      <w:r w:rsidRPr="00E202E3">
        <w:rPr>
          <w:b/>
          <w:highlight w:val="yellow"/>
        </w:rPr>
        <w:t>.2015</w:t>
      </w:r>
      <w:r w:rsidRPr="00520218">
        <w:t>.</w:t>
      </w:r>
    </w:p>
    <w:p w14:paraId="06C0A2B8" w14:textId="77777777" w:rsidR="000249A5" w:rsidRPr="00CB36BF" w:rsidRDefault="00110B29" w:rsidP="00434EE4">
      <w:pPr>
        <w:pStyle w:val="Nadpis3"/>
        <w:numPr>
          <w:ilvl w:val="2"/>
          <w:numId w:val="2"/>
        </w:numPr>
        <w:jc w:val="left"/>
        <w:rPr>
          <w:lang w:eastAsia="cs-CZ"/>
        </w:rPr>
      </w:pPr>
      <w:r w:rsidRPr="00CB36BF">
        <w:rPr>
          <w:lang w:eastAsia="cs-CZ"/>
        </w:rPr>
        <w:t>Požadavky na š</w:t>
      </w:r>
      <w:r w:rsidR="000249A5" w:rsidRPr="00CB36BF">
        <w:rPr>
          <w:lang w:eastAsia="cs-CZ"/>
        </w:rPr>
        <w:t>kolení</w:t>
      </w:r>
    </w:p>
    <w:p w14:paraId="272F1349" w14:textId="77777777" w:rsidR="00302405" w:rsidRDefault="00B05E61" w:rsidP="00643474">
      <w:pPr>
        <w:pStyle w:val="Normln-Odstavec"/>
        <w:jc w:val="left"/>
      </w:pPr>
      <w:r w:rsidRPr="00CB36BF">
        <w:t xml:space="preserve">Uchazeč zajistí školení pracovníků Zadavatele – administrátorů – na zařízení a systémy, dodávané v rámci této veřejné zakázky, a to minimálně v rozsahu předávané </w:t>
      </w:r>
      <w:r w:rsidR="000671B3" w:rsidRPr="00CB36BF">
        <w:t xml:space="preserve">provozní </w:t>
      </w:r>
      <w:r w:rsidRPr="00CB36BF">
        <w:t xml:space="preserve">dokumentace. </w:t>
      </w:r>
    </w:p>
    <w:p w14:paraId="540391F6" w14:textId="77777777" w:rsidR="00517D56" w:rsidRDefault="00B05E61" w:rsidP="00643474">
      <w:pPr>
        <w:pStyle w:val="Normln-Odstavec"/>
        <w:jc w:val="left"/>
      </w:pPr>
      <w:r w:rsidRPr="00CB36BF">
        <w:t>Školení zajistí seznámení pracovníků Zadavatele se všemi podstatnými částmi díla v rozsahu potřebném pro provoz, údržbu a identifikaci nestandardních stavů systému a jejich příčin</w:t>
      </w:r>
      <w:r w:rsidR="000A0748">
        <w:t xml:space="preserve"> </w:t>
      </w:r>
      <w:r w:rsidR="00517D56" w:rsidRPr="00101098">
        <w:t xml:space="preserve">– školení bude zakončeno písemnou zkouškou potvrzující požadovanou úroveň znalostí pracovníků a úspěšným pracovníkům bude vystaveno osvědčení o školení. </w:t>
      </w:r>
    </w:p>
    <w:p w14:paraId="28037E48" w14:textId="6016F54F" w:rsidR="00EC7634" w:rsidRPr="00CB36BF" w:rsidRDefault="0010378B" w:rsidP="00643474">
      <w:pPr>
        <w:pStyle w:val="Normln-Odstavec"/>
        <w:jc w:val="left"/>
      </w:pPr>
      <w:r>
        <w:t>Minim</w:t>
      </w:r>
      <w:r w:rsidR="00B25045">
        <w:t>ální rozsah školení je 40 hodin</w:t>
      </w:r>
      <w:r>
        <w:t xml:space="preserve">, z toho min. </w:t>
      </w:r>
      <w:r w:rsidR="00B25045">
        <w:t>16</w:t>
      </w:r>
      <w:r w:rsidR="00311123">
        <w:t xml:space="preserve"> hodin</w:t>
      </w:r>
      <w:r>
        <w:t xml:space="preserve"> pro komoditu K3</w:t>
      </w:r>
      <w:r w:rsidR="00B25045">
        <w:t xml:space="preserve"> a 8 pro komoditu K4.</w:t>
      </w:r>
    </w:p>
    <w:p w14:paraId="291069EC" w14:textId="77777777" w:rsidR="00EC7634" w:rsidRPr="00CB36BF" w:rsidRDefault="00B05E61" w:rsidP="00643474">
      <w:pPr>
        <w:pStyle w:val="Normln-Odstavec"/>
        <w:jc w:val="left"/>
      </w:pPr>
      <w:r w:rsidRPr="00CB36BF">
        <w:t xml:space="preserve">Školení bude probíhat v sídle </w:t>
      </w:r>
      <w:r w:rsidR="000357B3" w:rsidRPr="00CB36BF">
        <w:t>Z</w:t>
      </w:r>
      <w:r w:rsidRPr="00CB36BF">
        <w:t xml:space="preserve">adavatele. </w:t>
      </w:r>
    </w:p>
    <w:p w14:paraId="75BC4D6F" w14:textId="4CC1F112" w:rsidR="00B05E61" w:rsidRPr="00CB36BF" w:rsidRDefault="00B05E61" w:rsidP="00643474">
      <w:pPr>
        <w:pStyle w:val="Normln-Odstavec"/>
        <w:jc w:val="left"/>
      </w:pPr>
      <w:r w:rsidRPr="00CB36BF">
        <w:t xml:space="preserve">Předpokládá se účast max. </w:t>
      </w:r>
      <w:r w:rsidR="00B25045">
        <w:t>5</w:t>
      </w:r>
      <w:r w:rsidR="000357B3" w:rsidRPr="00CB36BF">
        <w:t xml:space="preserve"> </w:t>
      </w:r>
      <w:r w:rsidRPr="00CB36BF">
        <w:t>administrátorů.</w:t>
      </w:r>
    </w:p>
    <w:p w14:paraId="53F39F32" w14:textId="77777777" w:rsidR="0037213E" w:rsidRPr="00CB36BF" w:rsidRDefault="0037213E" w:rsidP="00643474">
      <w:pPr>
        <w:pStyle w:val="Normln-Odstavec"/>
        <w:jc w:val="left"/>
      </w:pPr>
      <w:r w:rsidRPr="00CB36BF">
        <w:t>Náklady na školení musí být zahrnuty v nabídkové ceně k položce, ke které se vztahují a nelze je vyčíslit zvlášť.</w:t>
      </w:r>
    </w:p>
    <w:p w14:paraId="442F3561" w14:textId="77777777" w:rsidR="004C617E" w:rsidRPr="00CB36BF" w:rsidRDefault="004C617E" w:rsidP="00434EE4">
      <w:pPr>
        <w:pStyle w:val="Nadpis3"/>
        <w:numPr>
          <w:ilvl w:val="2"/>
          <w:numId w:val="2"/>
        </w:numPr>
        <w:jc w:val="left"/>
        <w:rPr>
          <w:lang w:eastAsia="cs-CZ"/>
        </w:rPr>
      </w:pPr>
      <w:r w:rsidRPr="00CB36BF">
        <w:rPr>
          <w:lang w:eastAsia="cs-CZ"/>
        </w:rPr>
        <w:t>Požadavky na testovací prostředí</w:t>
      </w:r>
    </w:p>
    <w:p w14:paraId="621F9983" w14:textId="77777777" w:rsidR="004C617E" w:rsidRPr="00CB36BF" w:rsidRDefault="004C617E" w:rsidP="004C617E">
      <w:pPr>
        <w:pStyle w:val="Normln-Odstavec"/>
        <w:jc w:val="left"/>
      </w:pPr>
      <w:r w:rsidRPr="00CB36BF">
        <w:t>Zadavatel nedisponuje testovacím prostředím.</w:t>
      </w:r>
    </w:p>
    <w:p w14:paraId="7151172B" w14:textId="77777777" w:rsidR="004C617E" w:rsidRPr="00CB36BF" w:rsidRDefault="004C617E" w:rsidP="004C617E">
      <w:pPr>
        <w:pStyle w:val="Normln-Odstavec"/>
        <w:jc w:val="left"/>
      </w:pPr>
      <w:r w:rsidRPr="00CB36BF">
        <w:t>Vyžaduje-li uchazeč pro realizaci zakázky testovací prostředí, zahrne do nabídky náklady na jeho vybudování a požadovanou součinnost Zadavatele.</w:t>
      </w:r>
    </w:p>
    <w:p w14:paraId="4EF2D1FE" w14:textId="77777777" w:rsidR="000249A5" w:rsidRPr="00CB36BF" w:rsidRDefault="00110B29" w:rsidP="00434EE4">
      <w:pPr>
        <w:pStyle w:val="Nadpis3"/>
        <w:numPr>
          <w:ilvl w:val="2"/>
          <w:numId w:val="2"/>
        </w:numPr>
        <w:jc w:val="left"/>
        <w:rPr>
          <w:lang w:eastAsia="cs-CZ"/>
        </w:rPr>
      </w:pPr>
      <w:r w:rsidRPr="00CB36BF">
        <w:rPr>
          <w:lang w:eastAsia="cs-CZ"/>
        </w:rPr>
        <w:lastRenderedPageBreak/>
        <w:t>Požadavky na provedení akceptačních testů</w:t>
      </w:r>
      <w:r w:rsidR="003A59EC" w:rsidRPr="00CB36BF">
        <w:rPr>
          <w:lang w:eastAsia="cs-CZ"/>
        </w:rPr>
        <w:t>, zkušební provoz a přechod do ostrého provozu</w:t>
      </w:r>
    </w:p>
    <w:p w14:paraId="546EE366" w14:textId="77777777" w:rsidR="0037213E" w:rsidRPr="00CB36BF" w:rsidRDefault="0037213E" w:rsidP="0037213E">
      <w:pPr>
        <w:pStyle w:val="Normln-Odstavec"/>
        <w:jc w:val="left"/>
      </w:pPr>
      <w:r w:rsidRPr="00CB36BF">
        <w:t xml:space="preserve">Uchazeč navrhne způsob a provedení akceptačních testů. </w:t>
      </w:r>
    </w:p>
    <w:p w14:paraId="3D16B000" w14:textId="77777777" w:rsidR="0037213E" w:rsidRPr="00CB36BF" w:rsidRDefault="0037213E" w:rsidP="0037213E">
      <w:pPr>
        <w:pStyle w:val="Normln-Odstavec"/>
        <w:jc w:val="left"/>
      </w:pPr>
      <w:r w:rsidRPr="00CB36BF">
        <w:t>Součástí akceptačních testů musí být minimálně:</w:t>
      </w:r>
    </w:p>
    <w:p w14:paraId="2A6AB1B7" w14:textId="77777777" w:rsidR="0037213E" w:rsidRPr="00CB36BF" w:rsidRDefault="0037213E" w:rsidP="0037213E">
      <w:pPr>
        <w:pStyle w:val="Normln-Psmeno"/>
      </w:pPr>
      <w:r w:rsidRPr="00CB36BF">
        <w:t>Ověření (otestování) veškerých požadovaných funkcí a parametrů všech komodit</w:t>
      </w:r>
    </w:p>
    <w:p w14:paraId="5A30786B" w14:textId="03D00C7B" w:rsidR="0037213E" w:rsidRPr="00CB36BF" w:rsidRDefault="0037213E" w:rsidP="0037213E">
      <w:pPr>
        <w:pStyle w:val="Normln-Psmeno"/>
      </w:pPr>
      <w:r w:rsidRPr="00CB36BF">
        <w:t>Provedení zátěžových testů a změření výkonových parametrů K1 (rychl</w:t>
      </w:r>
      <w:r w:rsidR="00B25045">
        <w:t>ost přihlášení, odezvy aplikací, rychlost úložiště)</w:t>
      </w:r>
      <w:r w:rsidRPr="00CB36BF">
        <w:t xml:space="preserve"> </w:t>
      </w:r>
    </w:p>
    <w:p w14:paraId="108890E4" w14:textId="5F7B6D13" w:rsidR="0037213E" w:rsidRPr="00CB36BF" w:rsidRDefault="0037213E" w:rsidP="0037213E">
      <w:pPr>
        <w:pStyle w:val="Normln-Psmeno"/>
      </w:pPr>
      <w:r w:rsidRPr="00CB36BF">
        <w:t xml:space="preserve">Otestování vysoké dostupnost řešení – </w:t>
      </w:r>
      <w:r w:rsidR="00311123">
        <w:t>K1 a K2</w:t>
      </w:r>
      <w:r w:rsidR="00B25045">
        <w:t xml:space="preserve"> (firewall)</w:t>
      </w:r>
    </w:p>
    <w:p w14:paraId="622B4382" w14:textId="77777777" w:rsidR="0037213E" w:rsidRDefault="0037213E" w:rsidP="0037213E">
      <w:pPr>
        <w:pStyle w:val="Normln-Psmeno"/>
      </w:pPr>
      <w:r w:rsidRPr="00CB36BF">
        <w:t>Provedení zálohy a ukázkové obnovy dat</w:t>
      </w:r>
    </w:p>
    <w:p w14:paraId="30C9B369" w14:textId="77777777" w:rsidR="0037213E" w:rsidRPr="00CB36BF" w:rsidRDefault="0037213E" w:rsidP="0037213E">
      <w:pPr>
        <w:pStyle w:val="Normln-Odstavec"/>
        <w:jc w:val="left"/>
      </w:pPr>
      <w:r w:rsidRPr="00CB36BF">
        <w:t>O provedení akceptace a jejím výsledku musí být vyhotoven písemný protokol</w:t>
      </w:r>
    </w:p>
    <w:p w14:paraId="44F48D2C" w14:textId="06450890" w:rsidR="0037213E" w:rsidRPr="00CB36BF" w:rsidRDefault="0037213E" w:rsidP="0037213E">
      <w:pPr>
        <w:pStyle w:val="Normln-Odstavec"/>
      </w:pPr>
      <w:r w:rsidRPr="00CB36BF">
        <w:t>Uchazeč zajistí</w:t>
      </w:r>
      <w:r w:rsidRPr="00CB36BF">
        <w:rPr>
          <w:rFonts w:ascii="Times" w:hAnsi="Times"/>
        </w:rPr>
        <w:t xml:space="preserve"> zkušební provozu</w:t>
      </w:r>
      <w:r w:rsidRPr="00CB36BF">
        <w:t xml:space="preserve"> v délce minimálně 7 dnů</w:t>
      </w:r>
      <w:r w:rsidRPr="00CB36BF">
        <w:rPr>
          <w:rFonts w:ascii="Times" w:hAnsi="Times"/>
        </w:rPr>
        <w:t xml:space="preserve"> včetně technické podpory</w:t>
      </w:r>
      <w:r w:rsidRPr="00CB36BF">
        <w:t xml:space="preserve"> minimálně 2 specialistů na dodané </w:t>
      </w:r>
      <w:r w:rsidR="00311123">
        <w:t>řešení s dojezdem maximálně do 2</w:t>
      </w:r>
      <w:r w:rsidRPr="00CB36BF">
        <w:t xml:space="preserve"> hodin od nahlášení požadavku v pracovní den v době od 8h do 17h.</w:t>
      </w:r>
    </w:p>
    <w:p w14:paraId="74D8BC81" w14:textId="77777777" w:rsidR="0037213E" w:rsidRPr="00CB36BF" w:rsidRDefault="0037213E" w:rsidP="0037213E">
      <w:pPr>
        <w:pStyle w:val="Normln-Odstavec"/>
        <w:jc w:val="left"/>
        <w:rPr>
          <w:b/>
          <w:bCs/>
        </w:rPr>
      </w:pPr>
      <w:r w:rsidRPr="00CB36BF">
        <w:t>Přechodem do ostrého provozu se rozumí okamžik úspěšné akceptace díla včetně vypořádání všech vad a nedodělků.</w:t>
      </w:r>
    </w:p>
    <w:p w14:paraId="39C493CE" w14:textId="77777777" w:rsidR="00A258C4" w:rsidRPr="00CB36BF" w:rsidRDefault="00A258C4" w:rsidP="004C617E">
      <w:pPr>
        <w:jc w:val="left"/>
        <w:rPr>
          <w:b/>
          <w:bCs/>
        </w:rPr>
      </w:pPr>
    </w:p>
    <w:bookmarkEnd w:id="2"/>
    <w:bookmarkEnd w:id="3"/>
    <w:p w14:paraId="456711E3" w14:textId="77777777" w:rsidR="0099593D" w:rsidRPr="00CB36BF" w:rsidRDefault="0099593D" w:rsidP="00461E50">
      <w:pPr>
        <w:pStyle w:val="Nadpis2"/>
        <w:jc w:val="left"/>
        <w:rPr>
          <w:lang w:eastAsia="cs-CZ"/>
        </w:rPr>
      </w:pPr>
      <w:r w:rsidRPr="00CB36BF">
        <w:rPr>
          <w:lang w:eastAsia="cs-CZ"/>
        </w:rPr>
        <w:t>Záruky a servisní p</w:t>
      </w:r>
      <w:r w:rsidRPr="00CB36BF">
        <w:t>o</w:t>
      </w:r>
      <w:r w:rsidRPr="00CB36BF">
        <w:rPr>
          <w:lang w:eastAsia="cs-CZ"/>
        </w:rPr>
        <w:t>dmínky</w:t>
      </w:r>
    </w:p>
    <w:p w14:paraId="1E261951" w14:textId="77777777" w:rsidR="00020592" w:rsidRPr="00CB36BF" w:rsidRDefault="00020592" w:rsidP="00434EE4">
      <w:pPr>
        <w:pStyle w:val="Nadpis3"/>
        <w:numPr>
          <w:ilvl w:val="2"/>
          <w:numId w:val="2"/>
        </w:numPr>
        <w:jc w:val="left"/>
        <w:rPr>
          <w:lang w:eastAsia="cs-CZ"/>
        </w:rPr>
      </w:pPr>
      <w:r w:rsidRPr="00CB36BF">
        <w:rPr>
          <w:lang w:eastAsia="cs-CZ"/>
        </w:rPr>
        <w:t>Požadavky na záruky a servisní podmínky</w:t>
      </w:r>
    </w:p>
    <w:p w14:paraId="36A608D3" w14:textId="77777777" w:rsidR="004016F8" w:rsidRPr="00CB36BF" w:rsidRDefault="004016F8" w:rsidP="004016F8">
      <w:pPr>
        <w:pStyle w:val="Normln-Odstavec"/>
        <w:jc w:val="left"/>
      </w:pPr>
      <w:r w:rsidRPr="00CB36BF">
        <w:t xml:space="preserve">Zadavatel uvádí u jednotlivých komodit požadovanou min. záruku, popř. podporu. Uváděné parametry byly průzkumem trhu zjištěny jako standardní, tj. poskytovány výrobci jako součást standardní dodávky a ceny.  </w:t>
      </w:r>
    </w:p>
    <w:p w14:paraId="1AAD5CAC" w14:textId="77777777" w:rsidR="004016F8" w:rsidRPr="00CB36BF" w:rsidRDefault="004016F8" w:rsidP="004016F8">
      <w:pPr>
        <w:pStyle w:val="Normln-Odstavec"/>
      </w:pPr>
      <w:r w:rsidRPr="00CB36BF">
        <w:t xml:space="preserve">Nabídne-li Uchazeč v rámci svého řešení zboží, na něž výrobce standardně (tj. v rámci standardní dodávky a ceny) poskytuje horší záruku popř. podporu, požaduje Zadavatel zahrnout do nabídky cenu povýšení záruky popř. podpory na jím požadovanou úroveň. Cenu tohoto </w:t>
      </w:r>
      <w:r w:rsidRPr="00E3342B">
        <w:t>povýšení zahrne  Uchazeč v </w:t>
      </w:r>
      <w:r w:rsidRPr="00311123">
        <w:rPr>
          <w:highlight w:val="yellow"/>
        </w:rPr>
        <w:t xml:space="preserve">Příloze </w:t>
      </w:r>
      <w:r w:rsidR="00E3342B" w:rsidRPr="00311123">
        <w:rPr>
          <w:highlight w:val="yellow"/>
        </w:rPr>
        <w:t>3.b Zadávací dokumentace (</w:t>
      </w:r>
      <w:r w:rsidRPr="00311123">
        <w:rPr>
          <w:highlight w:val="yellow"/>
        </w:rPr>
        <w:t>Kalkulace nabídkové ceny</w:t>
      </w:r>
      <w:r w:rsidR="00E3342B" w:rsidRPr="00311123">
        <w:rPr>
          <w:highlight w:val="yellow"/>
        </w:rPr>
        <w:t>)</w:t>
      </w:r>
      <w:r w:rsidRPr="00CB36BF">
        <w:t xml:space="preserve"> do položky </w:t>
      </w:r>
      <w:r w:rsidRPr="00CB36BF">
        <w:rPr>
          <w:b/>
        </w:rPr>
        <w:t>Rozšířená záruka HW</w:t>
      </w:r>
      <w:r w:rsidRPr="00CB36BF">
        <w:t xml:space="preserve"> popř. </w:t>
      </w:r>
      <w:proofErr w:type="spellStart"/>
      <w:r w:rsidRPr="00CB36BF">
        <w:rPr>
          <w:b/>
        </w:rPr>
        <w:t>Maintenance</w:t>
      </w:r>
      <w:proofErr w:type="spellEnd"/>
      <w:r w:rsidRPr="00CB36BF">
        <w:rPr>
          <w:b/>
        </w:rPr>
        <w:t xml:space="preserve"> SW</w:t>
      </w:r>
      <w:r w:rsidRPr="00CB36BF">
        <w:t xml:space="preserve"> pro roky, kterých se rozšíření týká a v nichž má být cena rozšíření uhrazena.</w:t>
      </w:r>
    </w:p>
    <w:p w14:paraId="07C8FA0B" w14:textId="1C6DA0D6" w:rsidR="004016F8" w:rsidRPr="00CB36BF" w:rsidRDefault="004016F8" w:rsidP="00311123">
      <w:pPr>
        <w:pStyle w:val="Normln-Odstavec"/>
      </w:pPr>
      <w:r w:rsidRPr="00CB36BF">
        <w:t xml:space="preserve">Z důvodu zajištění udržitelnosti projektu po dobu 60-ti měsíců požaduje Zadavatel poskytnutí prodloužené záruky pro </w:t>
      </w:r>
      <w:r w:rsidR="00311123">
        <w:t xml:space="preserve">virtualizační </w:t>
      </w:r>
      <w:r w:rsidRPr="00CB36BF">
        <w:t>servery</w:t>
      </w:r>
      <w:r w:rsidR="00B25045">
        <w:t xml:space="preserve">, </w:t>
      </w:r>
      <w:r w:rsidR="008B1E90">
        <w:t xml:space="preserve">diskové úložiště </w:t>
      </w:r>
      <w:r w:rsidRPr="00CB36BF">
        <w:t>(sou</w:t>
      </w:r>
      <w:r w:rsidR="008B1E90">
        <w:t>část K1) a SIEM a firewally (součást K2</w:t>
      </w:r>
      <w:r w:rsidRPr="00CB36BF">
        <w:t>) na 60 měsíců při zachování ostatních parametrů původní záruky (rychlost opravy, rozsah aktualizací firmware</w:t>
      </w:r>
      <w:r w:rsidRPr="00E3342B">
        <w:t xml:space="preserve"> apod.). Cenu tohoto prodloužení zahrne Uchazeč v </w:t>
      </w:r>
      <w:r w:rsidRPr="00311123">
        <w:rPr>
          <w:highlight w:val="yellow"/>
        </w:rPr>
        <w:t xml:space="preserve">Příloze </w:t>
      </w:r>
      <w:r w:rsidR="00E3342B" w:rsidRPr="00311123">
        <w:rPr>
          <w:highlight w:val="yellow"/>
        </w:rPr>
        <w:t>3.b Zadávací dokumentace (</w:t>
      </w:r>
      <w:r w:rsidRPr="00311123">
        <w:rPr>
          <w:highlight w:val="yellow"/>
        </w:rPr>
        <w:t>Kalkulace nabídkové ceny</w:t>
      </w:r>
      <w:r w:rsidR="00E3342B" w:rsidRPr="00311123">
        <w:rPr>
          <w:highlight w:val="yellow"/>
        </w:rPr>
        <w:t>)</w:t>
      </w:r>
      <w:r w:rsidRPr="00CB36BF">
        <w:t xml:space="preserve"> do položky </w:t>
      </w:r>
      <w:r w:rsidRPr="00311123">
        <w:rPr>
          <w:b/>
        </w:rPr>
        <w:t xml:space="preserve">Rozšířená záruka HW </w:t>
      </w:r>
      <w:r w:rsidRPr="00CB36BF">
        <w:t>v </w:t>
      </w:r>
      <w:r w:rsidR="000A0748">
        <w:t>letech</w:t>
      </w:r>
      <w:r w:rsidRPr="00CB36BF">
        <w:t>, v </w:t>
      </w:r>
      <w:r w:rsidR="000A0748">
        <w:t>nichž</w:t>
      </w:r>
      <w:r w:rsidR="000A0748" w:rsidRPr="00CB36BF">
        <w:t xml:space="preserve"> </w:t>
      </w:r>
      <w:r w:rsidRPr="00CB36BF">
        <w:t>má být cena prodloužené záruky uhrazena.</w:t>
      </w:r>
    </w:p>
    <w:p w14:paraId="442D3D61" w14:textId="77777777" w:rsidR="004016F8" w:rsidRPr="00CB36BF" w:rsidRDefault="004016F8" w:rsidP="004016F8">
      <w:pPr>
        <w:pStyle w:val="Normln-Odstavec"/>
        <w:jc w:val="left"/>
      </w:pPr>
      <w:r w:rsidRPr="00CB36BF">
        <w:t xml:space="preserve">Zadavatel požaduje bezplatný (zahrnutý v ceně zakázky) přístup k aktualizacím software a firmware dodaných komodit minimálně po dobu záruky. </w:t>
      </w:r>
    </w:p>
    <w:p w14:paraId="169893B9" w14:textId="77777777" w:rsidR="004016F8" w:rsidRPr="00CB36BF" w:rsidRDefault="004016F8" w:rsidP="004016F8">
      <w:pPr>
        <w:pStyle w:val="Normln-Odstavec"/>
        <w:jc w:val="left"/>
      </w:pPr>
      <w:r w:rsidRPr="00CB36BF">
        <w:t xml:space="preserve">Veškeré opravy po dobu záruky budou provedeny bez dalších nákladů pro zadavatele. </w:t>
      </w:r>
    </w:p>
    <w:p w14:paraId="7667DFBE" w14:textId="77777777" w:rsidR="004016F8" w:rsidRPr="00CB36BF" w:rsidRDefault="004016F8" w:rsidP="004016F8">
      <w:pPr>
        <w:pStyle w:val="Normln-Odstavec"/>
        <w:jc w:val="left"/>
      </w:pPr>
      <w:r w:rsidRPr="00CB36BF">
        <w:t xml:space="preserve">Veškeré komponenty, náhradní díly a práce, poskytnuté v rámci záruky budou poskytnuty bezplatně. </w:t>
      </w:r>
    </w:p>
    <w:p w14:paraId="09FF7D6E" w14:textId="77777777" w:rsidR="004016F8" w:rsidRPr="00CB36BF" w:rsidRDefault="004016F8" w:rsidP="004016F8">
      <w:pPr>
        <w:pStyle w:val="Normln-Odstavec"/>
        <w:jc w:val="left"/>
      </w:pPr>
      <w:r w:rsidRPr="00CB36BF">
        <w:t xml:space="preserve">Není-li uvedeno u konkrétní komodity jinak, požaduje zadavatel provedení záruční opravy do pěti pracovních dne </w:t>
      </w:r>
    </w:p>
    <w:p w14:paraId="297B8CC0" w14:textId="77777777" w:rsidR="004016F8" w:rsidRPr="00CB36BF" w:rsidRDefault="004016F8" w:rsidP="004016F8">
      <w:pPr>
        <w:pStyle w:val="Normln-Odstavec"/>
        <w:jc w:val="left"/>
      </w:pPr>
      <w:r w:rsidRPr="00CB36BF">
        <w:lastRenderedPageBreak/>
        <w:t xml:space="preserve">Po dobu 60-ti měsíců od předání díla jako celku do plného provozu, musí uchazeč nebo výrobce všech zařízení garantovat běžnou dostupnost náhradních komponentů a dostupnost servisu. </w:t>
      </w:r>
    </w:p>
    <w:p w14:paraId="03D3668A" w14:textId="77777777" w:rsidR="004016F8" w:rsidRPr="00CB36BF" w:rsidRDefault="004016F8" w:rsidP="004016F8">
      <w:pPr>
        <w:pStyle w:val="Normln-Odstavec"/>
        <w:jc w:val="left"/>
      </w:pPr>
      <w:r w:rsidRPr="00CB36BF">
        <w:t>Uchazeč ve své nabídce výslovně uvede všechny podmínky záruk.</w:t>
      </w:r>
    </w:p>
    <w:p w14:paraId="601165DE" w14:textId="77777777" w:rsidR="004016F8" w:rsidRPr="00CB36BF" w:rsidRDefault="004016F8" w:rsidP="004016F8">
      <w:pPr>
        <w:pStyle w:val="Normln-Odstavec"/>
        <w:jc w:val="left"/>
      </w:pPr>
      <w:r w:rsidRPr="00CB36BF">
        <w:t xml:space="preserve">Pro hlášení servisní požadavků zajistí Uchazeč Zhotoviteli přístup ke svému </w:t>
      </w:r>
      <w:proofErr w:type="spellStart"/>
      <w:r w:rsidRPr="00CB36BF">
        <w:t>helpdeskovému</w:t>
      </w:r>
      <w:proofErr w:type="spellEnd"/>
      <w:r w:rsidRPr="00CB36BF">
        <w:t xml:space="preserve"> systém s on-line přístupem pro kompletní správu požadavků včetně uchování historie požadavků a jejich řešení. Detailní popis </w:t>
      </w:r>
      <w:proofErr w:type="spellStart"/>
      <w:r w:rsidRPr="00CB36BF">
        <w:t>helpdeskového</w:t>
      </w:r>
      <w:proofErr w:type="spellEnd"/>
      <w:r w:rsidRPr="00CB36BF">
        <w:t xml:space="preserve"> systému a jeho obsluhy musí být součástí nabídky. Provozní doba </w:t>
      </w:r>
      <w:proofErr w:type="spellStart"/>
      <w:r w:rsidRPr="00CB36BF">
        <w:t>helpdeskového</w:t>
      </w:r>
      <w:proofErr w:type="spellEnd"/>
      <w:r w:rsidRPr="00CB36BF">
        <w:t xml:space="preserve"> systému musí být minimálně 7-17 hod. v pracovních dnech. </w:t>
      </w:r>
    </w:p>
    <w:p w14:paraId="167DD629" w14:textId="77777777" w:rsidR="00020592" w:rsidRPr="00CB36BF" w:rsidRDefault="00020592" w:rsidP="00434EE4">
      <w:pPr>
        <w:pStyle w:val="Nadpis3"/>
        <w:numPr>
          <w:ilvl w:val="2"/>
          <w:numId w:val="2"/>
        </w:numPr>
        <w:jc w:val="left"/>
        <w:rPr>
          <w:lang w:eastAsia="cs-CZ"/>
        </w:rPr>
      </w:pPr>
      <w:r w:rsidRPr="00CB36BF">
        <w:rPr>
          <w:lang w:eastAsia="cs-CZ"/>
        </w:rPr>
        <w:t>Požadavky na zabezpečení provozu</w:t>
      </w:r>
    </w:p>
    <w:p w14:paraId="748D9492" w14:textId="77777777" w:rsidR="004016F8" w:rsidRPr="00CB36BF" w:rsidRDefault="004016F8" w:rsidP="004016F8">
      <w:pPr>
        <w:pStyle w:val="Normln-Odstavec"/>
        <w:jc w:val="left"/>
      </w:pPr>
      <w:r w:rsidRPr="00CB36BF">
        <w:t xml:space="preserve">Uchazeč zpracuje provozní dokumentaci, která bude detailně popisovat konfiguraci zhotoveného díla a jeho vazby na stávající systémy. </w:t>
      </w:r>
    </w:p>
    <w:p w14:paraId="76898F49" w14:textId="77777777" w:rsidR="004016F8" w:rsidRPr="00CB36BF" w:rsidRDefault="004016F8" w:rsidP="004016F8">
      <w:pPr>
        <w:pStyle w:val="Normln-Odstavec"/>
        <w:jc w:val="left"/>
      </w:pPr>
      <w:r w:rsidRPr="00CB36BF">
        <w:t>Součástí provozní dokumentace bude popis úkonů doporučené údržby a specifikace intervalů jejích provádění.</w:t>
      </w:r>
    </w:p>
    <w:p w14:paraId="164AD33E" w14:textId="55A034FF" w:rsidR="004016F8" w:rsidRPr="00CB36BF" w:rsidRDefault="004016F8" w:rsidP="004016F8">
      <w:pPr>
        <w:pStyle w:val="Normln-Odstavec"/>
        <w:jc w:val="left"/>
      </w:pPr>
      <w:r w:rsidRPr="00CB36BF">
        <w:t>Uchazeč v rámci zakázky provede aktualizaci Provozní dokumentace tak, aby odpovídala stavu po dokončení zakázky.</w:t>
      </w:r>
      <w:r w:rsidRPr="00CB36BF" w:rsidDel="00DE2551">
        <w:t xml:space="preserve"> </w:t>
      </w:r>
    </w:p>
    <w:p w14:paraId="7E1DF9F1" w14:textId="14711BDD" w:rsidR="00A1186F" w:rsidRPr="00CB36BF" w:rsidRDefault="004016F8" w:rsidP="00520218">
      <w:pPr>
        <w:pStyle w:val="Normln-Odstavec"/>
      </w:pPr>
      <w:r w:rsidRPr="00CB36BF">
        <w:t>Z důvodu zajištění udržitelnosti projektu po dobu 60-ti měsíců a zajištění bezpečnosti provozu požaduje Zadavatel zajištění poskytnutí softwaro</w:t>
      </w:r>
      <w:r w:rsidR="00311123">
        <w:t>vých aktualizací pro</w:t>
      </w:r>
      <w:r w:rsidR="00CB762C">
        <w:t xml:space="preserve"> </w:t>
      </w:r>
      <w:r w:rsidR="008B1E90">
        <w:t xml:space="preserve">diskové úložiště včetně rozšiřujících licencí, zálohovací systém (součást </w:t>
      </w:r>
      <w:r w:rsidR="00CB762C">
        <w:t>K1</w:t>
      </w:r>
      <w:r w:rsidR="008B1E90">
        <w:t>)</w:t>
      </w:r>
      <w:r w:rsidR="00CB762C">
        <w:t xml:space="preserve">, </w:t>
      </w:r>
      <w:r w:rsidR="008B1E90">
        <w:t xml:space="preserve">firewally a SIEM (součást </w:t>
      </w:r>
      <w:r w:rsidR="00311123">
        <w:t>K2</w:t>
      </w:r>
      <w:r w:rsidR="008B1E90">
        <w:t>),</w:t>
      </w:r>
      <w:r w:rsidRPr="00CB36BF">
        <w:t xml:space="preserve"> </w:t>
      </w:r>
      <w:r w:rsidR="008B1E90">
        <w:t xml:space="preserve">všechny systémy </w:t>
      </w:r>
      <w:r w:rsidR="00311123">
        <w:t xml:space="preserve">K3 </w:t>
      </w:r>
      <w:r w:rsidR="008B1E90">
        <w:t>a K4</w:t>
      </w:r>
      <w:r w:rsidR="00A1186F">
        <w:t>.</w:t>
      </w:r>
      <w:r w:rsidRPr="00E3342B">
        <w:t xml:space="preserve"> Cenu zahrne </w:t>
      </w:r>
      <w:r w:rsidRPr="00A1186F">
        <w:rPr>
          <w:highlight w:val="yellow"/>
        </w:rPr>
        <w:t xml:space="preserve">Uchazeč v Příloze </w:t>
      </w:r>
      <w:r w:rsidR="00E3342B" w:rsidRPr="00A1186F">
        <w:rPr>
          <w:highlight w:val="yellow"/>
        </w:rPr>
        <w:t>3.b Zadávací dokumentace (Kalkulace nabídkové ceny)</w:t>
      </w:r>
      <w:r w:rsidR="00E3342B" w:rsidRPr="00E3342B">
        <w:t xml:space="preserve"> </w:t>
      </w:r>
      <w:r w:rsidRPr="00E3342B">
        <w:t>do</w:t>
      </w:r>
      <w:r w:rsidRPr="00CB36BF">
        <w:t xml:space="preserve"> položky </w:t>
      </w:r>
      <w:proofErr w:type="spellStart"/>
      <w:r w:rsidRPr="00A1186F">
        <w:rPr>
          <w:b/>
        </w:rPr>
        <w:t>Maintenance</w:t>
      </w:r>
      <w:proofErr w:type="spellEnd"/>
      <w:r w:rsidRPr="00A1186F">
        <w:rPr>
          <w:b/>
        </w:rPr>
        <w:t xml:space="preserve"> SW </w:t>
      </w:r>
      <w:r w:rsidRPr="00CB36BF">
        <w:t>v </w:t>
      </w:r>
      <w:r w:rsidR="000A0748">
        <w:t>letech</w:t>
      </w:r>
      <w:r w:rsidRPr="00CB36BF">
        <w:t>, v </w:t>
      </w:r>
      <w:r w:rsidR="000A0748">
        <w:t>nichž</w:t>
      </w:r>
      <w:r w:rsidR="000A0748" w:rsidRPr="00CB36BF">
        <w:t xml:space="preserve"> </w:t>
      </w:r>
      <w:r w:rsidRPr="00CB36BF">
        <w:t>má být cena uhrazena.</w:t>
      </w:r>
      <w:r w:rsidR="00A1186F">
        <w:t xml:space="preserve"> Softwarové aktualizace jsou požadovány minimálně v stejném rozsahu, jako byly poskytovány v rámci záruky.</w:t>
      </w:r>
    </w:p>
    <w:p w14:paraId="6047CE0D" w14:textId="77777777" w:rsidR="00530341" w:rsidRPr="00CB36BF" w:rsidRDefault="004016F8" w:rsidP="004016F8">
      <w:pPr>
        <w:pStyle w:val="Normln-Odstavec"/>
      </w:pPr>
      <w:r w:rsidRPr="00CB36BF">
        <w:t xml:space="preserve">Vyžaduje-li nabízené řešení pro zajištění plné funkčnosti po dobu udržitelnosti 60 měsíců další pravidelné služby (revize, prohlídky, údržby apod.), </w:t>
      </w:r>
      <w:r w:rsidRPr="00A1186F">
        <w:rPr>
          <w:highlight w:val="yellow"/>
        </w:rPr>
        <w:t xml:space="preserve">zahrne Uchazeč cenu těchto služeb </w:t>
      </w:r>
      <w:r w:rsidR="00E3342B" w:rsidRPr="00A1186F">
        <w:rPr>
          <w:highlight w:val="yellow"/>
        </w:rPr>
        <w:t>v Příloze 3.b Zadávací dokumentace (Kalkulace nabídkové ceny)</w:t>
      </w:r>
      <w:r w:rsidR="00E3342B" w:rsidRPr="00E3342B">
        <w:t xml:space="preserve"> </w:t>
      </w:r>
      <w:r w:rsidRPr="00CB36BF">
        <w:t xml:space="preserve">do </w:t>
      </w:r>
      <w:r w:rsidRPr="00E3342B">
        <w:t xml:space="preserve">položky </w:t>
      </w:r>
      <w:r w:rsidRPr="00E3342B">
        <w:rPr>
          <w:b/>
        </w:rPr>
        <w:t xml:space="preserve">Zabezpečení podpory provozu </w:t>
      </w:r>
      <w:r w:rsidRPr="00E3342B">
        <w:t>v </w:t>
      </w:r>
      <w:r w:rsidR="000A0748" w:rsidRPr="00E3342B">
        <w:t>letech</w:t>
      </w:r>
      <w:r w:rsidRPr="00E3342B">
        <w:t>, v n</w:t>
      </w:r>
      <w:r w:rsidR="000A0748" w:rsidRPr="00E3342B">
        <w:t>ichž</w:t>
      </w:r>
      <w:r w:rsidRPr="00E3342B">
        <w:t xml:space="preserve"> má být cena uhrazena. Uchazeč v nabídce detailně popíše</w:t>
      </w:r>
      <w:r w:rsidRPr="00CB36BF">
        <w:t xml:space="preserve"> obsah a parametry těchto služeb.</w:t>
      </w:r>
    </w:p>
    <w:sectPr w:rsidR="00530341" w:rsidRPr="00CB36BF" w:rsidSect="00C1088E">
      <w:pgSz w:w="11900" w:h="16840"/>
      <w:pgMar w:top="1843" w:right="1800" w:bottom="1440" w:left="156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6A748" w14:textId="77777777" w:rsidR="003046BD" w:rsidRDefault="003046BD" w:rsidP="00DC7A73">
      <w:r>
        <w:separator/>
      </w:r>
    </w:p>
    <w:p w14:paraId="5B2C6BB1" w14:textId="77777777" w:rsidR="003046BD" w:rsidRDefault="003046BD" w:rsidP="00DC7A73"/>
  </w:endnote>
  <w:endnote w:type="continuationSeparator" w:id="0">
    <w:p w14:paraId="089001F5" w14:textId="77777777" w:rsidR="003046BD" w:rsidRDefault="003046BD" w:rsidP="00DC7A73">
      <w:r>
        <w:continuationSeparator/>
      </w:r>
    </w:p>
    <w:p w14:paraId="17A7D006" w14:textId="77777777" w:rsidR="003046BD" w:rsidRDefault="003046BD" w:rsidP="00DC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EE"/>
    <w:family w:val="roman"/>
    <w:pitch w:val="variable"/>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 Sans">
    <w:panose1 w:val="020B0603030804020204"/>
    <w:charset w:val="EE"/>
    <w:family w:val="swiss"/>
    <w:pitch w:val="variable"/>
    <w:sig w:usb0="E7002EFF" w:usb1="D200FDFF" w:usb2="0A246029" w:usb3="00000000" w:csb0="0000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EEA04" w14:textId="77777777" w:rsidR="00D57DD0" w:rsidRPr="00B62B9F" w:rsidRDefault="00D57DD0" w:rsidP="00B62B9F">
    <w:pPr>
      <w:pStyle w:val="Zpat"/>
      <w:jc w:val="center"/>
      <w:rPr>
        <w:rFonts w:ascii="Times New Roman" w:hAnsi="Times New Roman"/>
        <w:sz w:val="16"/>
        <w:szCs w:val="16"/>
      </w:rPr>
    </w:pPr>
    <w:r w:rsidRPr="00B62B9F">
      <w:rPr>
        <w:rFonts w:ascii="Times New Roman" w:hAnsi="Times New Roman"/>
        <w:sz w:val="16"/>
        <w:szCs w:val="16"/>
      </w:rPr>
      <w:t xml:space="preserve">Strana </w:t>
    </w:r>
    <w:sdt>
      <w:sdtPr>
        <w:rPr>
          <w:rFonts w:ascii="Times New Roman" w:hAnsi="Times New Roman"/>
          <w:sz w:val="16"/>
          <w:szCs w:val="16"/>
        </w:rPr>
        <w:id w:val="657966103"/>
        <w:docPartObj>
          <w:docPartGallery w:val="Page Numbers (Bottom of Page)"/>
          <w:docPartUnique/>
        </w:docPartObj>
      </w:sdtPr>
      <w:sdtEndPr/>
      <w:sdtContent>
        <w:r w:rsidRPr="00B62B9F">
          <w:rPr>
            <w:rFonts w:ascii="Times New Roman" w:hAnsi="Times New Roman"/>
            <w:sz w:val="16"/>
            <w:szCs w:val="16"/>
          </w:rPr>
          <w:fldChar w:fldCharType="begin"/>
        </w:r>
        <w:r w:rsidRPr="00B62B9F">
          <w:rPr>
            <w:rFonts w:ascii="Times New Roman" w:hAnsi="Times New Roman"/>
            <w:sz w:val="16"/>
            <w:szCs w:val="16"/>
          </w:rPr>
          <w:instrText>PAGE   \* MERGEFORMAT</w:instrText>
        </w:r>
        <w:r w:rsidRPr="00B62B9F">
          <w:rPr>
            <w:rFonts w:ascii="Times New Roman" w:hAnsi="Times New Roman"/>
            <w:sz w:val="16"/>
            <w:szCs w:val="16"/>
          </w:rPr>
          <w:fldChar w:fldCharType="separate"/>
        </w:r>
        <w:r w:rsidR="00EB5F5F">
          <w:rPr>
            <w:rFonts w:ascii="Times New Roman" w:hAnsi="Times New Roman"/>
            <w:noProof/>
            <w:sz w:val="16"/>
            <w:szCs w:val="16"/>
          </w:rPr>
          <w:t>21</w:t>
        </w:r>
        <w:r w:rsidRPr="00B62B9F">
          <w:rPr>
            <w:rFonts w:ascii="Times New Roman" w:hAnsi="Times New Roman"/>
            <w:sz w:val="16"/>
            <w:szCs w:val="16"/>
          </w:rPr>
          <w:fldChar w:fldCharType="end"/>
        </w:r>
        <w:r w:rsidRPr="00B62B9F">
          <w:rPr>
            <w:rFonts w:ascii="Times New Roman" w:hAnsi="Times New Roman"/>
            <w:sz w:val="16"/>
            <w:szCs w:val="16"/>
          </w:rPr>
          <w:t xml:space="preserve"> z </w:t>
        </w:r>
        <w:fldSimple w:instr=" NUMPAGES   \* MERGEFORMAT ">
          <w:r w:rsidR="00EB5F5F" w:rsidRPr="00EB5F5F">
            <w:rPr>
              <w:rFonts w:ascii="Times New Roman" w:hAnsi="Times New Roman"/>
              <w:noProof/>
              <w:sz w:val="16"/>
              <w:szCs w:val="16"/>
            </w:rPr>
            <w:t>37</w:t>
          </w:r>
        </w:fldSimple>
      </w:sdtContent>
    </w:sdt>
  </w:p>
  <w:p w14:paraId="482479F0" w14:textId="77777777" w:rsidR="00D57DD0" w:rsidRDefault="00D57DD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78CB8" w14:textId="77777777" w:rsidR="003046BD" w:rsidRDefault="003046BD" w:rsidP="00DC7A73">
      <w:r>
        <w:separator/>
      </w:r>
    </w:p>
    <w:p w14:paraId="581E7484" w14:textId="77777777" w:rsidR="003046BD" w:rsidRDefault="003046BD" w:rsidP="00DC7A73"/>
  </w:footnote>
  <w:footnote w:type="continuationSeparator" w:id="0">
    <w:p w14:paraId="05BDCB51" w14:textId="77777777" w:rsidR="003046BD" w:rsidRDefault="003046BD" w:rsidP="00DC7A73">
      <w:r>
        <w:continuationSeparator/>
      </w:r>
    </w:p>
    <w:p w14:paraId="5D2DA5A3" w14:textId="77777777" w:rsidR="003046BD" w:rsidRDefault="003046BD" w:rsidP="00DC7A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66B31" w14:textId="77777777" w:rsidR="00EB5F5F" w:rsidRDefault="00EB5F5F" w:rsidP="00EB5F5F">
    <w:pPr>
      <w:pStyle w:val="Zhlav"/>
      <w:jc w:val="center"/>
      <w:rPr>
        <w:rFonts w:ascii="Arial" w:hAnsi="Arial" w:cs="Arial"/>
        <w:b/>
      </w:rPr>
    </w:pPr>
    <w:r>
      <w:rPr>
        <w:noProof/>
        <w:lang w:eastAsia="cs-CZ"/>
      </w:rPr>
      <w:drawing>
        <wp:inline distT="0" distB="0" distL="0" distR="0" wp14:anchorId="3D3D844E" wp14:editId="7C09787A">
          <wp:extent cx="5422900" cy="621562"/>
          <wp:effectExtent l="0" t="0" r="0" b="7620"/>
          <wp:docPr id="2" name="Obrázek 2" descr="logo IOP + EU + MMR - cb -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IOP + EU + MMR - cb -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0" cy="621562"/>
                  </a:xfrm>
                  <a:prstGeom prst="rect">
                    <a:avLst/>
                  </a:prstGeom>
                  <a:noFill/>
                  <a:ln>
                    <a:noFill/>
                  </a:ln>
                </pic:spPr>
              </pic:pic>
            </a:graphicData>
          </a:graphic>
        </wp:inline>
      </w:drawing>
    </w:r>
  </w:p>
  <w:p w14:paraId="4E9B027A" w14:textId="77777777" w:rsidR="00EB5F5F" w:rsidRDefault="00EB5F5F" w:rsidP="00EB5F5F">
    <w:pPr>
      <w:pStyle w:val="Zhlav"/>
      <w:pBdr>
        <w:top w:val="single" w:sz="4" w:space="1" w:color="auto"/>
        <w:left w:val="single" w:sz="4" w:space="4" w:color="auto"/>
        <w:bottom w:val="single" w:sz="4" w:space="1" w:color="auto"/>
        <w:right w:val="single" w:sz="4" w:space="4" w:color="auto"/>
      </w:pBdr>
      <w:rPr>
        <w:rFonts w:ascii="Arial" w:hAnsi="Arial" w:cs="Arial"/>
        <w:b/>
      </w:rPr>
    </w:pPr>
    <w:r>
      <w:rPr>
        <w:rFonts w:ascii="Arial" w:hAnsi="Arial" w:cs="Arial"/>
        <w:b/>
      </w:rPr>
      <w:t xml:space="preserve">Příloha </w:t>
    </w:r>
    <w:proofErr w:type="gramStart"/>
    <w:r>
      <w:rPr>
        <w:rFonts w:ascii="Arial" w:hAnsi="Arial" w:cs="Arial"/>
        <w:b/>
      </w:rPr>
      <w:t>č. 3.a</w:t>
    </w:r>
    <w:r w:rsidRPr="00EB5F5F">
      <w:rPr>
        <w:rFonts w:ascii="Arial" w:hAnsi="Arial" w:cs="Arial"/>
        <w:b/>
      </w:rPr>
      <w:t xml:space="preserve"> </w:t>
    </w:r>
    <w:r w:rsidRPr="00EB5F5F">
      <w:rPr>
        <w:rFonts w:ascii="Arial" w:hAnsi="Arial" w:cs="Arial"/>
      </w:rPr>
      <w:t>Zadávací</w:t>
    </w:r>
    <w:proofErr w:type="gramEnd"/>
    <w:r w:rsidRPr="00EB5F5F">
      <w:rPr>
        <w:rFonts w:ascii="Arial" w:hAnsi="Arial" w:cs="Arial"/>
      </w:rPr>
      <w:t xml:space="preserve"> dokumentace veřejné zakázky</w:t>
    </w:r>
    <w:r w:rsidRPr="00EB5F5F">
      <w:rPr>
        <w:rFonts w:ascii="Arial" w:hAnsi="Arial" w:cs="Arial"/>
        <w:b/>
      </w:rPr>
      <w:t xml:space="preserve"> "Rozvoj služeb TC ORP Cheb"</w:t>
    </w:r>
  </w:p>
  <w:p w14:paraId="23FA3F8C" w14:textId="125FDFDA" w:rsidR="00D57DD0" w:rsidRDefault="00EB5F5F" w:rsidP="00EB5F5F">
    <w:pPr>
      <w:pStyle w:val="Zhlav"/>
      <w:pBdr>
        <w:top w:val="single" w:sz="4" w:space="1" w:color="auto"/>
        <w:left w:val="single" w:sz="4" w:space="4" w:color="auto"/>
        <w:bottom w:val="single" w:sz="4" w:space="1" w:color="auto"/>
        <w:right w:val="single" w:sz="4" w:space="4" w:color="auto"/>
      </w:pBdr>
    </w:pPr>
    <w:r>
      <w:rPr>
        <w:rFonts w:ascii="Arial" w:hAnsi="Arial" w:cs="Arial"/>
        <w:b/>
      </w:rPr>
      <w:t>TECHNICKÁ SPECIFIKACE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6DEA0B68"/>
    <w:name w:val="WW8Num5"/>
    <w:lvl w:ilvl="0">
      <w:start w:val="1"/>
      <w:numFmt w:val="bullet"/>
      <w:lvlText w:val="§"/>
      <w:lvlJc w:val="left"/>
      <w:pPr>
        <w:tabs>
          <w:tab w:val="num" w:pos="298"/>
        </w:tabs>
        <w:ind w:left="298" w:hanging="298"/>
      </w:pPr>
      <w:rPr>
        <w:rFonts w:ascii="Wingdings" w:hAnsi="Wingdings"/>
        <w:color w:val="auto"/>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3E1193"/>
    <w:multiLevelType w:val="multilevel"/>
    <w:tmpl w:val="B69E51F0"/>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bullet"/>
      <w:lvlText w:val=""/>
      <w:lvlJc w:val="left"/>
      <w:pPr>
        <w:tabs>
          <w:tab w:val="num" w:pos="567"/>
        </w:tabs>
        <w:ind w:left="0" w:firstLine="0"/>
      </w:pPr>
      <w:rPr>
        <w:rFonts w:ascii="Symbol" w:hAnsi="Symbol"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
    <w:nsid w:val="28F45C17"/>
    <w:multiLevelType w:val="multilevel"/>
    <w:tmpl w:val="5C70CA2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bullet"/>
      <w:lvlText w:val=""/>
      <w:lvlJc w:val="left"/>
      <w:pPr>
        <w:tabs>
          <w:tab w:val="num" w:pos="567"/>
        </w:tabs>
        <w:ind w:left="0" w:firstLine="0"/>
      </w:pPr>
      <w:rPr>
        <w:rFonts w:ascii="Symbol" w:hAnsi="Symbol"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
    <w:nsid w:val="32343FB0"/>
    <w:multiLevelType w:val="hybridMultilevel"/>
    <w:tmpl w:val="FF4EFD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A174B2C"/>
    <w:multiLevelType w:val="multilevel"/>
    <w:tmpl w:val="5C70CA2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bullet"/>
      <w:lvlText w:val=""/>
      <w:lvlJc w:val="left"/>
      <w:pPr>
        <w:tabs>
          <w:tab w:val="num" w:pos="567"/>
        </w:tabs>
        <w:ind w:left="0" w:firstLine="0"/>
      </w:pPr>
      <w:rPr>
        <w:rFonts w:ascii="Symbol" w:hAnsi="Symbol"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5">
    <w:nsid w:val="3B196336"/>
    <w:multiLevelType w:val="hybridMultilevel"/>
    <w:tmpl w:val="A7D4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B3085E"/>
    <w:multiLevelType w:val="multilevel"/>
    <w:tmpl w:val="48983BDC"/>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bullet"/>
      <w:lvlText w:val=""/>
      <w:lvlJc w:val="left"/>
      <w:pPr>
        <w:tabs>
          <w:tab w:val="num" w:pos="567"/>
        </w:tabs>
        <w:ind w:left="0" w:firstLine="0"/>
      </w:pPr>
      <w:rPr>
        <w:rFonts w:ascii="Symbol" w:hAnsi="Symbol"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7">
    <w:nsid w:val="487D2FC7"/>
    <w:multiLevelType w:val="hybridMultilevel"/>
    <w:tmpl w:val="C68A5336"/>
    <w:lvl w:ilvl="0" w:tplc="04050003">
      <w:start w:val="1"/>
      <w:numFmt w:val="decimal"/>
      <w:pStyle w:val="Tabulka"/>
      <w:lvlText w:val="Tabulka č.%1:"/>
      <w:lvlJc w:val="left"/>
      <w:pPr>
        <w:ind w:left="1074" w:hanging="360"/>
      </w:pPr>
      <w:rPr>
        <w:rFonts w:hint="default"/>
      </w:rPr>
    </w:lvl>
    <w:lvl w:ilvl="1" w:tplc="04050003" w:tentative="1">
      <w:start w:val="1"/>
      <w:numFmt w:val="lowerLetter"/>
      <w:lvlText w:val="%2."/>
      <w:lvlJc w:val="left"/>
      <w:pPr>
        <w:ind w:left="1797" w:hanging="360"/>
      </w:pPr>
    </w:lvl>
    <w:lvl w:ilvl="2" w:tplc="04050005" w:tentative="1">
      <w:start w:val="1"/>
      <w:numFmt w:val="lowerRoman"/>
      <w:lvlText w:val="%3."/>
      <w:lvlJc w:val="right"/>
      <w:pPr>
        <w:ind w:left="2517" w:hanging="180"/>
      </w:pPr>
    </w:lvl>
    <w:lvl w:ilvl="3" w:tplc="04050001" w:tentative="1">
      <w:start w:val="1"/>
      <w:numFmt w:val="decimal"/>
      <w:lvlText w:val="%4."/>
      <w:lvlJc w:val="left"/>
      <w:pPr>
        <w:ind w:left="3237" w:hanging="360"/>
      </w:pPr>
    </w:lvl>
    <w:lvl w:ilvl="4" w:tplc="04050003" w:tentative="1">
      <w:start w:val="1"/>
      <w:numFmt w:val="lowerLetter"/>
      <w:lvlText w:val="%5."/>
      <w:lvlJc w:val="left"/>
      <w:pPr>
        <w:ind w:left="3957" w:hanging="360"/>
      </w:pPr>
    </w:lvl>
    <w:lvl w:ilvl="5" w:tplc="04050005" w:tentative="1">
      <w:start w:val="1"/>
      <w:numFmt w:val="lowerRoman"/>
      <w:lvlText w:val="%6."/>
      <w:lvlJc w:val="right"/>
      <w:pPr>
        <w:ind w:left="4677" w:hanging="180"/>
      </w:pPr>
    </w:lvl>
    <w:lvl w:ilvl="6" w:tplc="04050001" w:tentative="1">
      <w:start w:val="1"/>
      <w:numFmt w:val="decimal"/>
      <w:lvlText w:val="%7."/>
      <w:lvlJc w:val="left"/>
      <w:pPr>
        <w:ind w:left="5397" w:hanging="360"/>
      </w:pPr>
    </w:lvl>
    <w:lvl w:ilvl="7" w:tplc="04050003" w:tentative="1">
      <w:start w:val="1"/>
      <w:numFmt w:val="lowerLetter"/>
      <w:lvlText w:val="%8."/>
      <w:lvlJc w:val="left"/>
      <w:pPr>
        <w:ind w:left="6117" w:hanging="360"/>
      </w:pPr>
    </w:lvl>
    <w:lvl w:ilvl="8" w:tplc="04050005" w:tentative="1">
      <w:start w:val="1"/>
      <w:numFmt w:val="lowerRoman"/>
      <w:lvlText w:val="%9."/>
      <w:lvlJc w:val="right"/>
      <w:pPr>
        <w:ind w:left="6837" w:hanging="180"/>
      </w:pPr>
    </w:lvl>
  </w:abstractNum>
  <w:abstractNum w:abstractNumId="8">
    <w:nsid w:val="554C06A4"/>
    <w:multiLevelType w:val="multilevel"/>
    <w:tmpl w:val="29E23664"/>
    <w:lvl w:ilvl="0">
      <w:start w:val="1"/>
      <w:numFmt w:val="decimal"/>
      <w:pStyle w:val="Normln-Psmeno"/>
      <w:lvlText w:val="%1."/>
      <w:lvlJc w:val="left"/>
      <w:pPr>
        <w:tabs>
          <w:tab w:val="num" w:pos="1701"/>
        </w:tabs>
        <w:ind w:left="1701" w:hanging="567"/>
      </w:pPr>
      <w:rPr>
        <w:rFonts w:cs="Times New Roman" w:hint="default"/>
      </w:rPr>
    </w:lvl>
    <w:lvl w:ilvl="1">
      <w:start w:val="1"/>
      <w:numFmt w:val="decimal"/>
      <w:pStyle w:val="Nadpis2"/>
      <w:lvlText w:val="%2."/>
      <w:lvlJc w:val="left"/>
      <w:pPr>
        <w:tabs>
          <w:tab w:val="num" w:pos="1560"/>
        </w:tabs>
        <w:ind w:left="1560" w:hanging="567"/>
      </w:pPr>
      <w:rPr>
        <w:rFonts w:cs="Times New Roman" w:hint="default"/>
      </w:rPr>
    </w:lvl>
    <w:lvl w:ilvl="2">
      <w:start w:val="1"/>
      <w:numFmt w:val="decimal"/>
      <w:pStyle w:val="Nadpis3"/>
      <w:lvlText w:val="%2.%3."/>
      <w:lvlJc w:val="left"/>
      <w:pPr>
        <w:tabs>
          <w:tab w:val="num" w:pos="567"/>
        </w:tabs>
        <w:ind w:left="567" w:hanging="567"/>
      </w:pPr>
      <w:rPr>
        <w:rFonts w:cs="Times New Roman" w:hint="default"/>
      </w:rPr>
    </w:lvl>
    <w:lvl w:ilvl="3">
      <w:start w:val="1"/>
      <w:numFmt w:val="decimal"/>
      <w:pStyle w:val="Normln-Odstavec"/>
      <w:lvlText w:val="(%4)"/>
      <w:lvlJc w:val="left"/>
      <w:pPr>
        <w:tabs>
          <w:tab w:val="num" w:pos="567"/>
        </w:tabs>
        <w:ind w:left="0" w:firstLine="0"/>
      </w:pPr>
      <w:rPr>
        <w:rFonts w:cs="Times New Roman" w:hint="default"/>
      </w:rPr>
    </w:lvl>
    <w:lvl w:ilvl="4">
      <w:start w:val="1"/>
      <w:numFmt w:val="lowerLetter"/>
      <w:pStyle w:val="Normln-Psmeno"/>
      <w:lvlText w:val="(%5)"/>
      <w:lvlJc w:val="left"/>
      <w:pPr>
        <w:ind w:left="1134" w:hanging="850"/>
      </w:pPr>
      <w:rPr>
        <w:rFonts w:cs="Times New Roman" w:hint="default"/>
      </w:rPr>
    </w:lvl>
    <w:lvl w:ilvl="5">
      <w:start w:val="1"/>
      <w:numFmt w:val="lowerRoman"/>
      <w:pStyle w:val="Normln-msk"/>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9">
    <w:nsid w:val="5AAC4CEE"/>
    <w:multiLevelType w:val="hybridMultilevel"/>
    <w:tmpl w:val="4D426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1750194"/>
    <w:multiLevelType w:val="hybridMultilevel"/>
    <w:tmpl w:val="D47C1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7F0D58"/>
    <w:multiLevelType w:val="hybridMultilevel"/>
    <w:tmpl w:val="3DE283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3E61CEB"/>
    <w:multiLevelType w:val="multilevel"/>
    <w:tmpl w:val="14348716"/>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bullet"/>
      <w:lvlText w:val=""/>
      <w:lvlJc w:val="left"/>
      <w:pPr>
        <w:tabs>
          <w:tab w:val="num" w:pos="567"/>
        </w:tabs>
        <w:ind w:left="0" w:firstLine="0"/>
      </w:pPr>
      <w:rPr>
        <w:rFonts w:ascii="Symbol" w:hAnsi="Symbol"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num w:numId="1">
    <w:abstractNumId w:val="8"/>
  </w:num>
  <w:num w:numId="2">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2"/>
  </w:num>
  <w:num w:numId="6">
    <w:abstractNumId w:val="4"/>
  </w:num>
  <w:num w:numId="7">
    <w:abstractNumId w:val="9"/>
  </w:num>
  <w:num w:numId="8">
    <w:abstractNumId w:val="8"/>
  </w:num>
  <w:num w:numId="9">
    <w:abstractNumId w:val="11"/>
  </w:num>
  <w:num w:numId="10">
    <w:abstractNumId w:val="5"/>
  </w:num>
  <w:num w:numId="11">
    <w:abstractNumId w:val="3"/>
  </w:num>
  <w:num w:numId="12">
    <w:abstractNumId w:val="8"/>
  </w:num>
  <w:num w:numId="13">
    <w:abstractNumId w:val="8"/>
  </w:num>
  <w:num w:numId="14">
    <w:abstractNumId w:val="8"/>
  </w:num>
  <w:num w:numId="15">
    <w:abstractNumId w:val="10"/>
  </w:num>
  <w:num w:numId="16">
    <w:abstractNumId w:val="8"/>
  </w:num>
  <w:num w:numId="17">
    <w:abstractNumId w:val="8"/>
  </w:num>
  <w:num w:numId="18">
    <w:abstractNumId w:val="12"/>
  </w:num>
  <w:num w:numId="19">
    <w:abstractNumId w:val="1"/>
  </w:num>
  <w:num w:numId="20">
    <w:abstractNumId w:val="8"/>
  </w:num>
  <w:num w:numId="2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6C"/>
    <w:rsid w:val="00007A3C"/>
    <w:rsid w:val="00007ADB"/>
    <w:rsid w:val="00007B73"/>
    <w:rsid w:val="00007D9A"/>
    <w:rsid w:val="00010C25"/>
    <w:rsid w:val="00012254"/>
    <w:rsid w:val="000156D2"/>
    <w:rsid w:val="000165E4"/>
    <w:rsid w:val="00017575"/>
    <w:rsid w:val="00020592"/>
    <w:rsid w:val="000205C5"/>
    <w:rsid w:val="00020F2F"/>
    <w:rsid w:val="00021FD7"/>
    <w:rsid w:val="00024548"/>
    <w:rsid w:val="000249A5"/>
    <w:rsid w:val="00034B6A"/>
    <w:rsid w:val="00034C38"/>
    <w:rsid w:val="000357B3"/>
    <w:rsid w:val="000365E9"/>
    <w:rsid w:val="000371F7"/>
    <w:rsid w:val="00040DB0"/>
    <w:rsid w:val="00041769"/>
    <w:rsid w:val="0004402A"/>
    <w:rsid w:val="000461AC"/>
    <w:rsid w:val="000501CE"/>
    <w:rsid w:val="00050305"/>
    <w:rsid w:val="00050902"/>
    <w:rsid w:val="00052956"/>
    <w:rsid w:val="00053164"/>
    <w:rsid w:val="00053788"/>
    <w:rsid w:val="0005384B"/>
    <w:rsid w:val="00053FA2"/>
    <w:rsid w:val="00055DB8"/>
    <w:rsid w:val="00056B44"/>
    <w:rsid w:val="00057885"/>
    <w:rsid w:val="00060D12"/>
    <w:rsid w:val="0006420E"/>
    <w:rsid w:val="00065324"/>
    <w:rsid w:val="00066BB2"/>
    <w:rsid w:val="000671B3"/>
    <w:rsid w:val="0007511C"/>
    <w:rsid w:val="00081745"/>
    <w:rsid w:val="00082CCA"/>
    <w:rsid w:val="00085108"/>
    <w:rsid w:val="00086A6F"/>
    <w:rsid w:val="00093BE9"/>
    <w:rsid w:val="00094266"/>
    <w:rsid w:val="00094D5A"/>
    <w:rsid w:val="00095874"/>
    <w:rsid w:val="00096736"/>
    <w:rsid w:val="00097F4D"/>
    <w:rsid w:val="000A0378"/>
    <w:rsid w:val="000A0568"/>
    <w:rsid w:val="000A0748"/>
    <w:rsid w:val="000A24C4"/>
    <w:rsid w:val="000A3A16"/>
    <w:rsid w:val="000A5FF8"/>
    <w:rsid w:val="000A66E0"/>
    <w:rsid w:val="000A768B"/>
    <w:rsid w:val="000B40E3"/>
    <w:rsid w:val="000B4875"/>
    <w:rsid w:val="000B6B91"/>
    <w:rsid w:val="000C1C3B"/>
    <w:rsid w:val="000C2283"/>
    <w:rsid w:val="000C4317"/>
    <w:rsid w:val="000C4AC8"/>
    <w:rsid w:val="000C553F"/>
    <w:rsid w:val="000D0426"/>
    <w:rsid w:val="000D2029"/>
    <w:rsid w:val="000D2C1C"/>
    <w:rsid w:val="000D38A8"/>
    <w:rsid w:val="000D7DB1"/>
    <w:rsid w:val="000E3E50"/>
    <w:rsid w:val="000E6909"/>
    <w:rsid w:val="000E6B8E"/>
    <w:rsid w:val="000E6D1B"/>
    <w:rsid w:val="000F1AC8"/>
    <w:rsid w:val="000F2F58"/>
    <w:rsid w:val="000F5521"/>
    <w:rsid w:val="000F5C5D"/>
    <w:rsid w:val="000F64FE"/>
    <w:rsid w:val="000F654A"/>
    <w:rsid w:val="000F6D04"/>
    <w:rsid w:val="000F6DA7"/>
    <w:rsid w:val="000F74F3"/>
    <w:rsid w:val="001009B9"/>
    <w:rsid w:val="001033E3"/>
    <w:rsid w:val="0010378B"/>
    <w:rsid w:val="00105736"/>
    <w:rsid w:val="00105E0C"/>
    <w:rsid w:val="001062D8"/>
    <w:rsid w:val="00106F49"/>
    <w:rsid w:val="00110B29"/>
    <w:rsid w:val="00110CA6"/>
    <w:rsid w:val="001113DF"/>
    <w:rsid w:val="00111BBB"/>
    <w:rsid w:val="00112618"/>
    <w:rsid w:val="0011438F"/>
    <w:rsid w:val="001157F4"/>
    <w:rsid w:val="00116C27"/>
    <w:rsid w:val="00117262"/>
    <w:rsid w:val="00120F61"/>
    <w:rsid w:val="001216EE"/>
    <w:rsid w:val="001225C6"/>
    <w:rsid w:val="001240A7"/>
    <w:rsid w:val="00124E79"/>
    <w:rsid w:val="0013119D"/>
    <w:rsid w:val="00131222"/>
    <w:rsid w:val="0013444C"/>
    <w:rsid w:val="00134EBC"/>
    <w:rsid w:val="001363B2"/>
    <w:rsid w:val="00137001"/>
    <w:rsid w:val="00137C65"/>
    <w:rsid w:val="00137D84"/>
    <w:rsid w:val="00142066"/>
    <w:rsid w:val="00151389"/>
    <w:rsid w:val="00163904"/>
    <w:rsid w:val="00164840"/>
    <w:rsid w:val="001656A9"/>
    <w:rsid w:val="001664F5"/>
    <w:rsid w:val="00172F90"/>
    <w:rsid w:val="00175A15"/>
    <w:rsid w:val="00175E47"/>
    <w:rsid w:val="0018022D"/>
    <w:rsid w:val="001813A6"/>
    <w:rsid w:val="001834F2"/>
    <w:rsid w:val="00185AC9"/>
    <w:rsid w:val="00186DC2"/>
    <w:rsid w:val="00187EAF"/>
    <w:rsid w:val="00190676"/>
    <w:rsid w:val="001955F4"/>
    <w:rsid w:val="00195DD3"/>
    <w:rsid w:val="00195EDF"/>
    <w:rsid w:val="001964E3"/>
    <w:rsid w:val="001A0F53"/>
    <w:rsid w:val="001A6371"/>
    <w:rsid w:val="001A757B"/>
    <w:rsid w:val="001B376A"/>
    <w:rsid w:val="001C0E7E"/>
    <w:rsid w:val="001C275A"/>
    <w:rsid w:val="001C27EA"/>
    <w:rsid w:val="001C4883"/>
    <w:rsid w:val="001C6D5A"/>
    <w:rsid w:val="001C770F"/>
    <w:rsid w:val="001D0613"/>
    <w:rsid w:val="001D0AC8"/>
    <w:rsid w:val="001D0FA5"/>
    <w:rsid w:val="001D3C89"/>
    <w:rsid w:val="001D4744"/>
    <w:rsid w:val="001D4AA6"/>
    <w:rsid w:val="001E2D80"/>
    <w:rsid w:val="001E3C6C"/>
    <w:rsid w:val="001E5614"/>
    <w:rsid w:val="001E59E4"/>
    <w:rsid w:val="001E61B1"/>
    <w:rsid w:val="001E73C5"/>
    <w:rsid w:val="001F171A"/>
    <w:rsid w:val="001F2464"/>
    <w:rsid w:val="001F2F26"/>
    <w:rsid w:val="0020036D"/>
    <w:rsid w:val="00201314"/>
    <w:rsid w:val="00204A57"/>
    <w:rsid w:val="00204D4D"/>
    <w:rsid w:val="00205C67"/>
    <w:rsid w:val="002124B9"/>
    <w:rsid w:val="002144B6"/>
    <w:rsid w:val="00215A05"/>
    <w:rsid w:val="00216731"/>
    <w:rsid w:val="00216D7A"/>
    <w:rsid w:val="0022210C"/>
    <w:rsid w:val="002225E3"/>
    <w:rsid w:val="00222797"/>
    <w:rsid w:val="0022437F"/>
    <w:rsid w:val="002313D5"/>
    <w:rsid w:val="00232AD6"/>
    <w:rsid w:val="0023585A"/>
    <w:rsid w:val="00237B82"/>
    <w:rsid w:val="00237F6F"/>
    <w:rsid w:val="00242A56"/>
    <w:rsid w:val="00242DE2"/>
    <w:rsid w:val="00244D2A"/>
    <w:rsid w:val="00245697"/>
    <w:rsid w:val="00251129"/>
    <w:rsid w:val="00255870"/>
    <w:rsid w:val="002610CC"/>
    <w:rsid w:val="00261AB1"/>
    <w:rsid w:val="00262A19"/>
    <w:rsid w:val="00265EC8"/>
    <w:rsid w:val="00267D49"/>
    <w:rsid w:val="00270A85"/>
    <w:rsid w:val="002725E2"/>
    <w:rsid w:val="00272789"/>
    <w:rsid w:val="00274083"/>
    <w:rsid w:val="00274546"/>
    <w:rsid w:val="00275197"/>
    <w:rsid w:val="002809D9"/>
    <w:rsid w:val="00282FD2"/>
    <w:rsid w:val="00284FAB"/>
    <w:rsid w:val="00286B23"/>
    <w:rsid w:val="0028714F"/>
    <w:rsid w:val="002873DA"/>
    <w:rsid w:val="00287FA9"/>
    <w:rsid w:val="00291AA5"/>
    <w:rsid w:val="00293328"/>
    <w:rsid w:val="00293D9C"/>
    <w:rsid w:val="00294BBE"/>
    <w:rsid w:val="0029508F"/>
    <w:rsid w:val="002960CA"/>
    <w:rsid w:val="00296E07"/>
    <w:rsid w:val="002A0BD6"/>
    <w:rsid w:val="002A30AF"/>
    <w:rsid w:val="002A444E"/>
    <w:rsid w:val="002A7786"/>
    <w:rsid w:val="002B1244"/>
    <w:rsid w:val="002B1A75"/>
    <w:rsid w:val="002B2116"/>
    <w:rsid w:val="002B294E"/>
    <w:rsid w:val="002B712C"/>
    <w:rsid w:val="002B77AA"/>
    <w:rsid w:val="002B7BDD"/>
    <w:rsid w:val="002C2D7C"/>
    <w:rsid w:val="002C3AAA"/>
    <w:rsid w:val="002C5664"/>
    <w:rsid w:val="002D04D4"/>
    <w:rsid w:val="002D0A91"/>
    <w:rsid w:val="002D1FE5"/>
    <w:rsid w:val="002D254D"/>
    <w:rsid w:val="002D2C4E"/>
    <w:rsid w:val="002D2DC3"/>
    <w:rsid w:val="002D4831"/>
    <w:rsid w:val="002D72C4"/>
    <w:rsid w:val="002E0A92"/>
    <w:rsid w:val="002E2249"/>
    <w:rsid w:val="002E3B38"/>
    <w:rsid w:val="002E69BB"/>
    <w:rsid w:val="002F11B9"/>
    <w:rsid w:val="002F22D4"/>
    <w:rsid w:val="002F4247"/>
    <w:rsid w:val="002F5091"/>
    <w:rsid w:val="002F6DC4"/>
    <w:rsid w:val="003002A8"/>
    <w:rsid w:val="00302405"/>
    <w:rsid w:val="00303995"/>
    <w:rsid w:val="00304213"/>
    <w:rsid w:val="003046BD"/>
    <w:rsid w:val="00311123"/>
    <w:rsid w:val="0031538A"/>
    <w:rsid w:val="003155F1"/>
    <w:rsid w:val="00316563"/>
    <w:rsid w:val="003176B7"/>
    <w:rsid w:val="003220AD"/>
    <w:rsid w:val="00323E58"/>
    <w:rsid w:val="00325051"/>
    <w:rsid w:val="00330E45"/>
    <w:rsid w:val="00332054"/>
    <w:rsid w:val="00332FF0"/>
    <w:rsid w:val="0033642C"/>
    <w:rsid w:val="0034071E"/>
    <w:rsid w:val="0034134A"/>
    <w:rsid w:val="0034167B"/>
    <w:rsid w:val="003416C7"/>
    <w:rsid w:val="0034475B"/>
    <w:rsid w:val="00344F2C"/>
    <w:rsid w:val="00350276"/>
    <w:rsid w:val="00351618"/>
    <w:rsid w:val="0035320F"/>
    <w:rsid w:val="003539F4"/>
    <w:rsid w:val="00362ADF"/>
    <w:rsid w:val="0037048E"/>
    <w:rsid w:val="0037213E"/>
    <w:rsid w:val="003737A9"/>
    <w:rsid w:val="00377346"/>
    <w:rsid w:val="00385A09"/>
    <w:rsid w:val="00392AE4"/>
    <w:rsid w:val="00393073"/>
    <w:rsid w:val="003933BC"/>
    <w:rsid w:val="00393966"/>
    <w:rsid w:val="0039550F"/>
    <w:rsid w:val="00396BB6"/>
    <w:rsid w:val="00397D69"/>
    <w:rsid w:val="00397EEA"/>
    <w:rsid w:val="003A2329"/>
    <w:rsid w:val="003A23FF"/>
    <w:rsid w:val="003A2616"/>
    <w:rsid w:val="003A3BBC"/>
    <w:rsid w:val="003A59EC"/>
    <w:rsid w:val="003A62DF"/>
    <w:rsid w:val="003B4059"/>
    <w:rsid w:val="003B42DA"/>
    <w:rsid w:val="003B47A7"/>
    <w:rsid w:val="003B6260"/>
    <w:rsid w:val="003B679B"/>
    <w:rsid w:val="003B717F"/>
    <w:rsid w:val="003B7804"/>
    <w:rsid w:val="003C43B7"/>
    <w:rsid w:val="003C4AA3"/>
    <w:rsid w:val="003C5CA0"/>
    <w:rsid w:val="003C601D"/>
    <w:rsid w:val="003D14E7"/>
    <w:rsid w:val="003D1FF1"/>
    <w:rsid w:val="003D68B0"/>
    <w:rsid w:val="003E03C1"/>
    <w:rsid w:val="003E0DF3"/>
    <w:rsid w:val="003E3B65"/>
    <w:rsid w:val="003E77CB"/>
    <w:rsid w:val="003F06B2"/>
    <w:rsid w:val="003F170F"/>
    <w:rsid w:val="003F3838"/>
    <w:rsid w:val="003F5B17"/>
    <w:rsid w:val="003F75A1"/>
    <w:rsid w:val="004016F8"/>
    <w:rsid w:val="004028D2"/>
    <w:rsid w:val="004036D6"/>
    <w:rsid w:val="00406AEB"/>
    <w:rsid w:val="004076E6"/>
    <w:rsid w:val="004107DD"/>
    <w:rsid w:val="00411E91"/>
    <w:rsid w:val="004132EF"/>
    <w:rsid w:val="00413DB7"/>
    <w:rsid w:val="0042109D"/>
    <w:rsid w:val="00421EE5"/>
    <w:rsid w:val="00422F11"/>
    <w:rsid w:val="004241ED"/>
    <w:rsid w:val="004261CB"/>
    <w:rsid w:val="004319D7"/>
    <w:rsid w:val="004336FD"/>
    <w:rsid w:val="00433AEC"/>
    <w:rsid w:val="00434EE4"/>
    <w:rsid w:val="00435036"/>
    <w:rsid w:val="00436A00"/>
    <w:rsid w:val="00437AC6"/>
    <w:rsid w:val="00441859"/>
    <w:rsid w:val="00443589"/>
    <w:rsid w:val="00444630"/>
    <w:rsid w:val="004446E3"/>
    <w:rsid w:val="004465EA"/>
    <w:rsid w:val="004521EB"/>
    <w:rsid w:val="004558D8"/>
    <w:rsid w:val="004578B5"/>
    <w:rsid w:val="00461033"/>
    <w:rsid w:val="00461E50"/>
    <w:rsid w:val="00462082"/>
    <w:rsid w:val="004622E4"/>
    <w:rsid w:val="0046406F"/>
    <w:rsid w:val="00464F09"/>
    <w:rsid w:val="00464FD0"/>
    <w:rsid w:val="004717B8"/>
    <w:rsid w:val="00473A93"/>
    <w:rsid w:val="00475396"/>
    <w:rsid w:val="004759DA"/>
    <w:rsid w:val="00477853"/>
    <w:rsid w:val="0048055A"/>
    <w:rsid w:val="00480AFB"/>
    <w:rsid w:val="004815C7"/>
    <w:rsid w:val="00481B00"/>
    <w:rsid w:val="004858B6"/>
    <w:rsid w:val="0048640B"/>
    <w:rsid w:val="00486741"/>
    <w:rsid w:val="0049072A"/>
    <w:rsid w:val="0049098C"/>
    <w:rsid w:val="0049194F"/>
    <w:rsid w:val="00495DF0"/>
    <w:rsid w:val="0049644D"/>
    <w:rsid w:val="004A0F2C"/>
    <w:rsid w:val="004A3DB0"/>
    <w:rsid w:val="004A6867"/>
    <w:rsid w:val="004A6CFC"/>
    <w:rsid w:val="004A6D73"/>
    <w:rsid w:val="004A6EFC"/>
    <w:rsid w:val="004A7608"/>
    <w:rsid w:val="004B2F7F"/>
    <w:rsid w:val="004B5764"/>
    <w:rsid w:val="004B628D"/>
    <w:rsid w:val="004B6789"/>
    <w:rsid w:val="004C25C8"/>
    <w:rsid w:val="004C617E"/>
    <w:rsid w:val="004C6C36"/>
    <w:rsid w:val="004C7D32"/>
    <w:rsid w:val="004D6F30"/>
    <w:rsid w:val="004E161D"/>
    <w:rsid w:val="004E70DD"/>
    <w:rsid w:val="004F0697"/>
    <w:rsid w:val="004F2B7F"/>
    <w:rsid w:val="004F3843"/>
    <w:rsid w:val="00502BD2"/>
    <w:rsid w:val="00507648"/>
    <w:rsid w:val="005105F4"/>
    <w:rsid w:val="00511BBF"/>
    <w:rsid w:val="0051406A"/>
    <w:rsid w:val="00516132"/>
    <w:rsid w:val="00517D56"/>
    <w:rsid w:val="00520218"/>
    <w:rsid w:val="00525858"/>
    <w:rsid w:val="00530341"/>
    <w:rsid w:val="005324C1"/>
    <w:rsid w:val="005338E7"/>
    <w:rsid w:val="00533A37"/>
    <w:rsid w:val="00534D51"/>
    <w:rsid w:val="00537440"/>
    <w:rsid w:val="00543D76"/>
    <w:rsid w:val="00545D68"/>
    <w:rsid w:val="00545EA8"/>
    <w:rsid w:val="00546B02"/>
    <w:rsid w:val="00547565"/>
    <w:rsid w:val="0054765F"/>
    <w:rsid w:val="005521AD"/>
    <w:rsid w:val="00552591"/>
    <w:rsid w:val="00552CD9"/>
    <w:rsid w:val="0055348F"/>
    <w:rsid w:val="00554FD9"/>
    <w:rsid w:val="00556A83"/>
    <w:rsid w:val="00560AD7"/>
    <w:rsid w:val="005649B7"/>
    <w:rsid w:val="005675F2"/>
    <w:rsid w:val="005717F0"/>
    <w:rsid w:val="0057209F"/>
    <w:rsid w:val="00572936"/>
    <w:rsid w:val="00574D23"/>
    <w:rsid w:val="00580141"/>
    <w:rsid w:val="005808A6"/>
    <w:rsid w:val="00580DD4"/>
    <w:rsid w:val="00581E64"/>
    <w:rsid w:val="005833E1"/>
    <w:rsid w:val="00585244"/>
    <w:rsid w:val="0059043A"/>
    <w:rsid w:val="005913CF"/>
    <w:rsid w:val="00591FAA"/>
    <w:rsid w:val="00592689"/>
    <w:rsid w:val="00593754"/>
    <w:rsid w:val="00593764"/>
    <w:rsid w:val="00596DF8"/>
    <w:rsid w:val="005A04A8"/>
    <w:rsid w:val="005A32C8"/>
    <w:rsid w:val="005B13EF"/>
    <w:rsid w:val="005B17DE"/>
    <w:rsid w:val="005B2EC4"/>
    <w:rsid w:val="005B3926"/>
    <w:rsid w:val="005B4250"/>
    <w:rsid w:val="005B4F83"/>
    <w:rsid w:val="005B7119"/>
    <w:rsid w:val="005B7AF1"/>
    <w:rsid w:val="005C4B55"/>
    <w:rsid w:val="005D09F0"/>
    <w:rsid w:val="005D0C0B"/>
    <w:rsid w:val="005D1570"/>
    <w:rsid w:val="005D2539"/>
    <w:rsid w:val="005D44F4"/>
    <w:rsid w:val="005D5154"/>
    <w:rsid w:val="005D5FC9"/>
    <w:rsid w:val="005E09BD"/>
    <w:rsid w:val="005E42A6"/>
    <w:rsid w:val="005E4E77"/>
    <w:rsid w:val="005E6134"/>
    <w:rsid w:val="005E663B"/>
    <w:rsid w:val="005E73F4"/>
    <w:rsid w:val="005F0086"/>
    <w:rsid w:val="005F25AF"/>
    <w:rsid w:val="005F260B"/>
    <w:rsid w:val="005F3615"/>
    <w:rsid w:val="005F37B9"/>
    <w:rsid w:val="00600A4E"/>
    <w:rsid w:val="006031D5"/>
    <w:rsid w:val="006032DC"/>
    <w:rsid w:val="0060501E"/>
    <w:rsid w:val="00605F3D"/>
    <w:rsid w:val="00606D55"/>
    <w:rsid w:val="00607461"/>
    <w:rsid w:val="00610F70"/>
    <w:rsid w:val="00621DF2"/>
    <w:rsid w:val="00621F4F"/>
    <w:rsid w:val="006220B7"/>
    <w:rsid w:val="0062346F"/>
    <w:rsid w:val="006248E4"/>
    <w:rsid w:val="00624C99"/>
    <w:rsid w:val="00626375"/>
    <w:rsid w:val="006266C4"/>
    <w:rsid w:val="00626F11"/>
    <w:rsid w:val="00627DAB"/>
    <w:rsid w:val="00632DB0"/>
    <w:rsid w:val="00633099"/>
    <w:rsid w:val="00634A80"/>
    <w:rsid w:val="00635744"/>
    <w:rsid w:val="00636B0F"/>
    <w:rsid w:val="006371E2"/>
    <w:rsid w:val="0064057F"/>
    <w:rsid w:val="00641322"/>
    <w:rsid w:val="0064344E"/>
    <w:rsid w:val="00643474"/>
    <w:rsid w:val="00643E22"/>
    <w:rsid w:val="006469B6"/>
    <w:rsid w:val="006501F8"/>
    <w:rsid w:val="006503B8"/>
    <w:rsid w:val="00652E23"/>
    <w:rsid w:val="00654825"/>
    <w:rsid w:val="00654895"/>
    <w:rsid w:val="00655BDB"/>
    <w:rsid w:val="006605C6"/>
    <w:rsid w:val="0066211E"/>
    <w:rsid w:val="00662B4E"/>
    <w:rsid w:val="00663E85"/>
    <w:rsid w:val="00667CBC"/>
    <w:rsid w:val="0067015F"/>
    <w:rsid w:val="00672071"/>
    <w:rsid w:val="006723DF"/>
    <w:rsid w:val="00673737"/>
    <w:rsid w:val="0067397E"/>
    <w:rsid w:val="00674A49"/>
    <w:rsid w:val="006750A2"/>
    <w:rsid w:val="00677D14"/>
    <w:rsid w:val="006847C5"/>
    <w:rsid w:val="00685797"/>
    <w:rsid w:val="0068605D"/>
    <w:rsid w:val="006862B9"/>
    <w:rsid w:val="0069729A"/>
    <w:rsid w:val="006A0366"/>
    <w:rsid w:val="006A2261"/>
    <w:rsid w:val="006A2D03"/>
    <w:rsid w:val="006A38A7"/>
    <w:rsid w:val="006A3B65"/>
    <w:rsid w:val="006A471F"/>
    <w:rsid w:val="006A58BB"/>
    <w:rsid w:val="006B33A4"/>
    <w:rsid w:val="006B5FD6"/>
    <w:rsid w:val="006B6A2E"/>
    <w:rsid w:val="006C31BF"/>
    <w:rsid w:val="006C67C4"/>
    <w:rsid w:val="006C7DAA"/>
    <w:rsid w:val="006D0131"/>
    <w:rsid w:val="006D3E39"/>
    <w:rsid w:val="006D6750"/>
    <w:rsid w:val="006D76AB"/>
    <w:rsid w:val="006D790D"/>
    <w:rsid w:val="006E09EB"/>
    <w:rsid w:val="006E2405"/>
    <w:rsid w:val="006E2DD5"/>
    <w:rsid w:val="006E44CD"/>
    <w:rsid w:val="006E4D8D"/>
    <w:rsid w:val="006E6A7D"/>
    <w:rsid w:val="006F00C2"/>
    <w:rsid w:val="006F0855"/>
    <w:rsid w:val="006F10E5"/>
    <w:rsid w:val="006F2314"/>
    <w:rsid w:val="006F3928"/>
    <w:rsid w:val="006F5C06"/>
    <w:rsid w:val="006F5E8E"/>
    <w:rsid w:val="006F76E8"/>
    <w:rsid w:val="006F7D89"/>
    <w:rsid w:val="007015C7"/>
    <w:rsid w:val="0070283C"/>
    <w:rsid w:val="00703BAE"/>
    <w:rsid w:val="007045F3"/>
    <w:rsid w:val="00712DBD"/>
    <w:rsid w:val="007131DF"/>
    <w:rsid w:val="00714840"/>
    <w:rsid w:val="007160FB"/>
    <w:rsid w:val="00717631"/>
    <w:rsid w:val="0072273D"/>
    <w:rsid w:val="00724FA6"/>
    <w:rsid w:val="007250CB"/>
    <w:rsid w:val="00725407"/>
    <w:rsid w:val="00725B33"/>
    <w:rsid w:val="00726103"/>
    <w:rsid w:val="0072702A"/>
    <w:rsid w:val="00730DED"/>
    <w:rsid w:val="007313DC"/>
    <w:rsid w:val="00733620"/>
    <w:rsid w:val="007337D7"/>
    <w:rsid w:val="00735B27"/>
    <w:rsid w:val="00737BDA"/>
    <w:rsid w:val="007441ED"/>
    <w:rsid w:val="0074600C"/>
    <w:rsid w:val="00746E86"/>
    <w:rsid w:val="00750076"/>
    <w:rsid w:val="007532F0"/>
    <w:rsid w:val="007538E1"/>
    <w:rsid w:val="0075700F"/>
    <w:rsid w:val="007645D4"/>
    <w:rsid w:val="007657AD"/>
    <w:rsid w:val="00765A83"/>
    <w:rsid w:val="007704AF"/>
    <w:rsid w:val="00770BE5"/>
    <w:rsid w:val="00773499"/>
    <w:rsid w:val="0077366B"/>
    <w:rsid w:val="007750A1"/>
    <w:rsid w:val="007761FF"/>
    <w:rsid w:val="0077651F"/>
    <w:rsid w:val="00782AD7"/>
    <w:rsid w:val="007848A8"/>
    <w:rsid w:val="007912C9"/>
    <w:rsid w:val="00791719"/>
    <w:rsid w:val="0079394B"/>
    <w:rsid w:val="00794830"/>
    <w:rsid w:val="007A5683"/>
    <w:rsid w:val="007A6F6B"/>
    <w:rsid w:val="007A7FF5"/>
    <w:rsid w:val="007B01E3"/>
    <w:rsid w:val="007B14E8"/>
    <w:rsid w:val="007B47FF"/>
    <w:rsid w:val="007C0138"/>
    <w:rsid w:val="007C081C"/>
    <w:rsid w:val="007C40C5"/>
    <w:rsid w:val="007D1F90"/>
    <w:rsid w:val="007D29AA"/>
    <w:rsid w:val="007D4DE1"/>
    <w:rsid w:val="007E2D67"/>
    <w:rsid w:val="007E508F"/>
    <w:rsid w:val="007E57DE"/>
    <w:rsid w:val="007F06D1"/>
    <w:rsid w:val="007F49EF"/>
    <w:rsid w:val="007F4E3D"/>
    <w:rsid w:val="0080321E"/>
    <w:rsid w:val="00806B6B"/>
    <w:rsid w:val="008118D2"/>
    <w:rsid w:val="008135E5"/>
    <w:rsid w:val="0081515D"/>
    <w:rsid w:val="00816394"/>
    <w:rsid w:val="0081787C"/>
    <w:rsid w:val="0082005B"/>
    <w:rsid w:val="0082083B"/>
    <w:rsid w:val="00821E87"/>
    <w:rsid w:val="00822591"/>
    <w:rsid w:val="00822994"/>
    <w:rsid w:val="0082558A"/>
    <w:rsid w:val="00826483"/>
    <w:rsid w:val="0083008D"/>
    <w:rsid w:val="0083047C"/>
    <w:rsid w:val="00831510"/>
    <w:rsid w:val="00831974"/>
    <w:rsid w:val="00832ADA"/>
    <w:rsid w:val="00832B19"/>
    <w:rsid w:val="00833E28"/>
    <w:rsid w:val="00837942"/>
    <w:rsid w:val="00842534"/>
    <w:rsid w:val="0084664C"/>
    <w:rsid w:val="00847D9D"/>
    <w:rsid w:val="008521FB"/>
    <w:rsid w:val="008614A2"/>
    <w:rsid w:val="008636DA"/>
    <w:rsid w:val="00864253"/>
    <w:rsid w:val="008650C0"/>
    <w:rsid w:val="008658ED"/>
    <w:rsid w:val="00867212"/>
    <w:rsid w:val="0087147A"/>
    <w:rsid w:val="008719B4"/>
    <w:rsid w:val="0087283C"/>
    <w:rsid w:val="00875764"/>
    <w:rsid w:val="00876867"/>
    <w:rsid w:val="00880405"/>
    <w:rsid w:val="008811FE"/>
    <w:rsid w:val="00882695"/>
    <w:rsid w:val="008838F5"/>
    <w:rsid w:val="00884F12"/>
    <w:rsid w:val="00887043"/>
    <w:rsid w:val="008877A5"/>
    <w:rsid w:val="00890E30"/>
    <w:rsid w:val="008917AB"/>
    <w:rsid w:val="00892553"/>
    <w:rsid w:val="00892929"/>
    <w:rsid w:val="008943E5"/>
    <w:rsid w:val="00894956"/>
    <w:rsid w:val="00894A86"/>
    <w:rsid w:val="008A0477"/>
    <w:rsid w:val="008A2269"/>
    <w:rsid w:val="008A40F7"/>
    <w:rsid w:val="008A5B26"/>
    <w:rsid w:val="008A5E9B"/>
    <w:rsid w:val="008A7EE1"/>
    <w:rsid w:val="008B070E"/>
    <w:rsid w:val="008B0BE2"/>
    <w:rsid w:val="008B127F"/>
    <w:rsid w:val="008B1D11"/>
    <w:rsid w:val="008B1E90"/>
    <w:rsid w:val="008B6C0C"/>
    <w:rsid w:val="008C1E6A"/>
    <w:rsid w:val="008C5D72"/>
    <w:rsid w:val="008D0845"/>
    <w:rsid w:val="008D1270"/>
    <w:rsid w:val="008D3030"/>
    <w:rsid w:val="008D3574"/>
    <w:rsid w:val="008D3BFF"/>
    <w:rsid w:val="008D3CC8"/>
    <w:rsid w:val="008D4FC8"/>
    <w:rsid w:val="008D6545"/>
    <w:rsid w:val="008D6649"/>
    <w:rsid w:val="008E1522"/>
    <w:rsid w:val="008E2405"/>
    <w:rsid w:val="008E6CA8"/>
    <w:rsid w:val="008E7B09"/>
    <w:rsid w:val="008F6813"/>
    <w:rsid w:val="008F73D4"/>
    <w:rsid w:val="00900AFA"/>
    <w:rsid w:val="00902836"/>
    <w:rsid w:val="0091048F"/>
    <w:rsid w:val="009139D6"/>
    <w:rsid w:val="009151C0"/>
    <w:rsid w:val="0091602C"/>
    <w:rsid w:val="00916033"/>
    <w:rsid w:val="00916EA1"/>
    <w:rsid w:val="00921555"/>
    <w:rsid w:val="00922D48"/>
    <w:rsid w:val="00925E9A"/>
    <w:rsid w:val="009312E0"/>
    <w:rsid w:val="00935AFD"/>
    <w:rsid w:val="00936EB5"/>
    <w:rsid w:val="009400FA"/>
    <w:rsid w:val="009412CB"/>
    <w:rsid w:val="00941DD9"/>
    <w:rsid w:val="00942595"/>
    <w:rsid w:val="00943AD9"/>
    <w:rsid w:val="00945EA0"/>
    <w:rsid w:val="0094613F"/>
    <w:rsid w:val="00946CCC"/>
    <w:rsid w:val="009517F4"/>
    <w:rsid w:val="0095648C"/>
    <w:rsid w:val="0095731D"/>
    <w:rsid w:val="00957AE2"/>
    <w:rsid w:val="00960570"/>
    <w:rsid w:val="009629A1"/>
    <w:rsid w:val="00964900"/>
    <w:rsid w:val="00965CB4"/>
    <w:rsid w:val="00967ECC"/>
    <w:rsid w:val="00973521"/>
    <w:rsid w:val="00973C0A"/>
    <w:rsid w:val="00975601"/>
    <w:rsid w:val="00981EE3"/>
    <w:rsid w:val="009826D9"/>
    <w:rsid w:val="00985D8B"/>
    <w:rsid w:val="0098631A"/>
    <w:rsid w:val="00986E2D"/>
    <w:rsid w:val="009937FC"/>
    <w:rsid w:val="00993BC9"/>
    <w:rsid w:val="0099450A"/>
    <w:rsid w:val="0099593D"/>
    <w:rsid w:val="009975E1"/>
    <w:rsid w:val="009A03EE"/>
    <w:rsid w:val="009A0BA9"/>
    <w:rsid w:val="009A26DE"/>
    <w:rsid w:val="009A2854"/>
    <w:rsid w:val="009A4111"/>
    <w:rsid w:val="009A47CD"/>
    <w:rsid w:val="009A4B68"/>
    <w:rsid w:val="009A7432"/>
    <w:rsid w:val="009B1C12"/>
    <w:rsid w:val="009B22B5"/>
    <w:rsid w:val="009B3A3C"/>
    <w:rsid w:val="009B61A5"/>
    <w:rsid w:val="009B7B7B"/>
    <w:rsid w:val="009C0087"/>
    <w:rsid w:val="009C11BD"/>
    <w:rsid w:val="009C18B2"/>
    <w:rsid w:val="009C1E0C"/>
    <w:rsid w:val="009C6743"/>
    <w:rsid w:val="009D1134"/>
    <w:rsid w:val="009D2797"/>
    <w:rsid w:val="009D28A3"/>
    <w:rsid w:val="009D4004"/>
    <w:rsid w:val="009D495D"/>
    <w:rsid w:val="009D745C"/>
    <w:rsid w:val="009D7EFC"/>
    <w:rsid w:val="009E0CA8"/>
    <w:rsid w:val="009E3F37"/>
    <w:rsid w:val="009E5681"/>
    <w:rsid w:val="009E5BBC"/>
    <w:rsid w:val="009E6324"/>
    <w:rsid w:val="009E6677"/>
    <w:rsid w:val="009E68DA"/>
    <w:rsid w:val="009E6F7E"/>
    <w:rsid w:val="009F19E3"/>
    <w:rsid w:val="009F324A"/>
    <w:rsid w:val="009F55A4"/>
    <w:rsid w:val="00A03AAC"/>
    <w:rsid w:val="00A04485"/>
    <w:rsid w:val="00A0554E"/>
    <w:rsid w:val="00A0648F"/>
    <w:rsid w:val="00A10CBF"/>
    <w:rsid w:val="00A11829"/>
    <w:rsid w:val="00A1186F"/>
    <w:rsid w:val="00A12CAD"/>
    <w:rsid w:val="00A12E8A"/>
    <w:rsid w:val="00A14308"/>
    <w:rsid w:val="00A17114"/>
    <w:rsid w:val="00A207CA"/>
    <w:rsid w:val="00A21A00"/>
    <w:rsid w:val="00A22624"/>
    <w:rsid w:val="00A22A4B"/>
    <w:rsid w:val="00A23065"/>
    <w:rsid w:val="00A23BFC"/>
    <w:rsid w:val="00A258C4"/>
    <w:rsid w:val="00A25DA6"/>
    <w:rsid w:val="00A2653E"/>
    <w:rsid w:val="00A26870"/>
    <w:rsid w:val="00A26E77"/>
    <w:rsid w:val="00A27755"/>
    <w:rsid w:val="00A3564A"/>
    <w:rsid w:val="00A36B5C"/>
    <w:rsid w:val="00A40833"/>
    <w:rsid w:val="00A41D14"/>
    <w:rsid w:val="00A421B8"/>
    <w:rsid w:val="00A42B0A"/>
    <w:rsid w:val="00A43420"/>
    <w:rsid w:val="00A462C7"/>
    <w:rsid w:val="00A47045"/>
    <w:rsid w:val="00A473FD"/>
    <w:rsid w:val="00A507DA"/>
    <w:rsid w:val="00A51126"/>
    <w:rsid w:val="00A52EFB"/>
    <w:rsid w:val="00A54243"/>
    <w:rsid w:val="00A54BBD"/>
    <w:rsid w:val="00A57807"/>
    <w:rsid w:val="00A6091F"/>
    <w:rsid w:val="00A6168F"/>
    <w:rsid w:val="00A63A3F"/>
    <w:rsid w:val="00A708B0"/>
    <w:rsid w:val="00A7334F"/>
    <w:rsid w:val="00A7468F"/>
    <w:rsid w:val="00A755E2"/>
    <w:rsid w:val="00A758A6"/>
    <w:rsid w:val="00A75A3C"/>
    <w:rsid w:val="00A75B1D"/>
    <w:rsid w:val="00A77775"/>
    <w:rsid w:val="00A81229"/>
    <w:rsid w:val="00A82888"/>
    <w:rsid w:val="00A82B66"/>
    <w:rsid w:val="00A82DC4"/>
    <w:rsid w:val="00A83A22"/>
    <w:rsid w:val="00A84DAC"/>
    <w:rsid w:val="00A86313"/>
    <w:rsid w:val="00A93606"/>
    <w:rsid w:val="00A96ED1"/>
    <w:rsid w:val="00AA0AFE"/>
    <w:rsid w:val="00AA225E"/>
    <w:rsid w:val="00AA5EC3"/>
    <w:rsid w:val="00AA6FFC"/>
    <w:rsid w:val="00AB40D7"/>
    <w:rsid w:val="00AB4F2E"/>
    <w:rsid w:val="00AB6046"/>
    <w:rsid w:val="00AB6223"/>
    <w:rsid w:val="00AB6B87"/>
    <w:rsid w:val="00AC0951"/>
    <w:rsid w:val="00AC17CA"/>
    <w:rsid w:val="00AD1E09"/>
    <w:rsid w:val="00AD4233"/>
    <w:rsid w:val="00AE32FE"/>
    <w:rsid w:val="00AE43CB"/>
    <w:rsid w:val="00AE7913"/>
    <w:rsid w:val="00AE7D12"/>
    <w:rsid w:val="00AF04DD"/>
    <w:rsid w:val="00AF4679"/>
    <w:rsid w:val="00AF4923"/>
    <w:rsid w:val="00B00518"/>
    <w:rsid w:val="00B03BEE"/>
    <w:rsid w:val="00B0534B"/>
    <w:rsid w:val="00B05E61"/>
    <w:rsid w:val="00B07625"/>
    <w:rsid w:val="00B076B4"/>
    <w:rsid w:val="00B114B6"/>
    <w:rsid w:val="00B14558"/>
    <w:rsid w:val="00B15C7C"/>
    <w:rsid w:val="00B219D0"/>
    <w:rsid w:val="00B2266A"/>
    <w:rsid w:val="00B23E59"/>
    <w:rsid w:val="00B24C26"/>
    <w:rsid w:val="00B25045"/>
    <w:rsid w:val="00B26D6E"/>
    <w:rsid w:val="00B31EFE"/>
    <w:rsid w:val="00B32C9B"/>
    <w:rsid w:val="00B34378"/>
    <w:rsid w:val="00B3506D"/>
    <w:rsid w:val="00B35C57"/>
    <w:rsid w:val="00B35F06"/>
    <w:rsid w:val="00B36046"/>
    <w:rsid w:val="00B365C7"/>
    <w:rsid w:val="00B36921"/>
    <w:rsid w:val="00B42EF6"/>
    <w:rsid w:val="00B4362B"/>
    <w:rsid w:val="00B438D4"/>
    <w:rsid w:val="00B43A49"/>
    <w:rsid w:val="00B4630B"/>
    <w:rsid w:val="00B46360"/>
    <w:rsid w:val="00B46E84"/>
    <w:rsid w:val="00B530D1"/>
    <w:rsid w:val="00B55B91"/>
    <w:rsid w:val="00B571C2"/>
    <w:rsid w:val="00B609EB"/>
    <w:rsid w:val="00B62B9F"/>
    <w:rsid w:val="00B62D0A"/>
    <w:rsid w:val="00B6362F"/>
    <w:rsid w:val="00B666D4"/>
    <w:rsid w:val="00B73738"/>
    <w:rsid w:val="00B764BA"/>
    <w:rsid w:val="00B779FB"/>
    <w:rsid w:val="00B800FA"/>
    <w:rsid w:val="00B80B62"/>
    <w:rsid w:val="00B81930"/>
    <w:rsid w:val="00B827A7"/>
    <w:rsid w:val="00B8330F"/>
    <w:rsid w:val="00B86D84"/>
    <w:rsid w:val="00B870CA"/>
    <w:rsid w:val="00B87E31"/>
    <w:rsid w:val="00B90D06"/>
    <w:rsid w:val="00B90E5E"/>
    <w:rsid w:val="00B9285C"/>
    <w:rsid w:val="00B92EA0"/>
    <w:rsid w:val="00B949E4"/>
    <w:rsid w:val="00B96668"/>
    <w:rsid w:val="00B96905"/>
    <w:rsid w:val="00BA054D"/>
    <w:rsid w:val="00BA2307"/>
    <w:rsid w:val="00BA2A52"/>
    <w:rsid w:val="00BA46F7"/>
    <w:rsid w:val="00BA50F0"/>
    <w:rsid w:val="00BA5377"/>
    <w:rsid w:val="00BA6547"/>
    <w:rsid w:val="00BB0196"/>
    <w:rsid w:val="00BB175F"/>
    <w:rsid w:val="00BB5815"/>
    <w:rsid w:val="00BB5967"/>
    <w:rsid w:val="00BC14A1"/>
    <w:rsid w:val="00BC4005"/>
    <w:rsid w:val="00BC4615"/>
    <w:rsid w:val="00BC5DAA"/>
    <w:rsid w:val="00BC5F87"/>
    <w:rsid w:val="00BC7951"/>
    <w:rsid w:val="00BD5617"/>
    <w:rsid w:val="00BD605E"/>
    <w:rsid w:val="00BD6F70"/>
    <w:rsid w:val="00BD793E"/>
    <w:rsid w:val="00BE13E4"/>
    <w:rsid w:val="00BE271B"/>
    <w:rsid w:val="00BE4425"/>
    <w:rsid w:val="00BE7357"/>
    <w:rsid w:val="00BE75FE"/>
    <w:rsid w:val="00BF16F5"/>
    <w:rsid w:val="00BF1887"/>
    <w:rsid w:val="00BF1D99"/>
    <w:rsid w:val="00BF25FF"/>
    <w:rsid w:val="00BF50B1"/>
    <w:rsid w:val="00C01B05"/>
    <w:rsid w:val="00C02E60"/>
    <w:rsid w:val="00C05333"/>
    <w:rsid w:val="00C075EE"/>
    <w:rsid w:val="00C079D2"/>
    <w:rsid w:val="00C1088E"/>
    <w:rsid w:val="00C10DDB"/>
    <w:rsid w:val="00C1164F"/>
    <w:rsid w:val="00C12644"/>
    <w:rsid w:val="00C15735"/>
    <w:rsid w:val="00C20561"/>
    <w:rsid w:val="00C2434D"/>
    <w:rsid w:val="00C24C24"/>
    <w:rsid w:val="00C260FF"/>
    <w:rsid w:val="00C27A45"/>
    <w:rsid w:val="00C27F56"/>
    <w:rsid w:val="00C30229"/>
    <w:rsid w:val="00C32008"/>
    <w:rsid w:val="00C3263B"/>
    <w:rsid w:val="00C41A94"/>
    <w:rsid w:val="00C446CA"/>
    <w:rsid w:val="00C447AE"/>
    <w:rsid w:val="00C4546D"/>
    <w:rsid w:val="00C460AD"/>
    <w:rsid w:val="00C50DB5"/>
    <w:rsid w:val="00C50F76"/>
    <w:rsid w:val="00C525BA"/>
    <w:rsid w:val="00C5337B"/>
    <w:rsid w:val="00C539AA"/>
    <w:rsid w:val="00C56E51"/>
    <w:rsid w:val="00C5736D"/>
    <w:rsid w:val="00C6051D"/>
    <w:rsid w:val="00C60883"/>
    <w:rsid w:val="00C60A62"/>
    <w:rsid w:val="00C60BAC"/>
    <w:rsid w:val="00C60E7B"/>
    <w:rsid w:val="00C61955"/>
    <w:rsid w:val="00C63BA2"/>
    <w:rsid w:val="00C64A2F"/>
    <w:rsid w:val="00C64A3F"/>
    <w:rsid w:val="00C65559"/>
    <w:rsid w:val="00C65663"/>
    <w:rsid w:val="00C678DC"/>
    <w:rsid w:val="00C72428"/>
    <w:rsid w:val="00C72D0C"/>
    <w:rsid w:val="00C7562E"/>
    <w:rsid w:val="00C76712"/>
    <w:rsid w:val="00C805C0"/>
    <w:rsid w:val="00C813DB"/>
    <w:rsid w:val="00C8196D"/>
    <w:rsid w:val="00C821B7"/>
    <w:rsid w:val="00C82358"/>
    <w:rsid w:val="00C82B04"/>
    <w:rsid w:val="00C82DE5"/>
    <w:rsid w:val="00C835CE"/>
    <w:rsid w:val="00C83D7C"/>
    <w:rsid w:val="00C903D3"/>
    <w:rsid w:val="00C90723"/>
    <w:rsid w:val="00C9076C"/>
    <w:rsid w:val="00C92161"/>
    <w:rsid w:val="00C9434A"/>
    <w:rsid w:val="00C94961"/>
    <w:rsid w:val="00C94C66"/>
    <w:rsid w:val="00C9566A"/>
    <w:rsid w:val="00C95695"/>
    <w:rsid w:val="00C956FF"/>
    <w:rsid w:val="00C9616F"/>
    <w:rsid w:val="00C97079"/>
    <w:rsid w:val="00CA183B"/>
    <w:rsid w:val="00CA1927"/>
    <w:rsid w:val="00CA3039"/>
    <w:rsid w:val="00CA47AC"/>
    <w:rsid w:val="00CA562B"/>
    <w:rsid w:val="00CA5F47"/>
    <w:rsid w:val="00CA61CA"/>
    <w:rsid w:val="00CA66AD"/>
    <w:rsid w:val="00CA7165"/>
    <w:rsid w:val="00CB21C5"/>
    <w:rsid w:val="00CB2B08"/>
    <w:rsid w:val="00CB36BF"/>
    <w:rsid w:val="00CB4018"/>
    <w:rsid w:val="00CB695B"/>
    <w:rsid w:val="00CB762C"/>
    <w:rsid w:val="00CC2D52"/>
    <w:rsid w:val="00CC3D9D"/>
    <w:rsid w:val="00CC42D5"/>
    <w:rsid w:val="00CC4ABA"/>
    <w:rsid w:val="00CC590D"/>
    <w:rsid w:val="00CC6FDF"/>
    <w:rsid w:val="00CD041C"/>
    <w:rsid w:val="00CD29F0"/>
    <w:rsid w:val="00CD3D9C"/>
    <w:rsid w:val="00CD4D2A"/>
    <w:rsid w:val="00CD506A"/>
    <w:rsid w:val="00CD7502"/>
    <w:rsid w:val="00CE1941"/>
    <w:rsid w:val="00CE33F1"/>
    <w:rsid w:val="00CE347D"/>
    <w:rsid w:val="00CE4E55"/>
    <w:rsid w:val="00CE57BA"/>
    <w:rsid w:val="00CE5D9E"/>
    <w:rsid w:val="00CE6951"/>
    <w:rsid w:val="00CF0009"/>
    <w:rsid w:val="00CF2D14"/>
    <w:rsid w:val="00CF35C5"/>
    <w:rsid w:val="00CF6F42"/>
    <w:rsid w:val="00D025CB"/>
    <w:rsid w:val="00D030A1"/>
    <w:rsid w:val="00D04C26"/>
    <w:rsid w:val="00D04CFF"/>
    <w:rsid w:val="00D071D7"/>
    <w:rsid w:val="00D10F5D"/>
    <w:rsid w:val="00D12D3A"/>
    <w:rsid w:val="00D13916"/>
    <w:rsid w:val="00D15F83"/>
    <w:rsid w:val="00D202DE"/>
    <w:rsid w:val="00D24016"/>
    <w:rsid w:val="00D24441"/>
    <w:rsid w:val="00D25611"/>
    <w:rsid w:val="00D25A9F"/>
    <w:rsid w:val="00D2600B"/>
    <w:rsid w:val="00D27C9A"/>
    <w:rsid w:val="00D27FD7"/>
    <w:rsid w:val="00D30C7E"/>
    <w:rsid w:val="00D30CA5"/>
    <w:rsid w:val="00D33253"/>
    <w:rsid w:val="00D34A99"/>
    <w:rsid w:val="00D36519"/>
    <w:rsid w:val="00D36DEA"/>
    <w:rsid w:val="00D402DF"/>
    <w:rsid w:val="00D40AC7"/>
    <w:rsid w:val="00D4608E"/>
    <w:rsid w:val="00D46718"/>
    <w:rsid w:val="00D52130"/>
    <w:rsid w:val="00D52B52"/>
    <w:rsid w:val="00D538AB"/>
    <w:rsid w:val="00D53FC6"/>
    <w:rsid w:val="00D5467A"/>
    <w:rsid w:val="00D5484F"/>
    <w:rsid w:val="00D54FB5"/>
    <w:rsid w:val="00D56E00"/>
    <w:rsid w:val="00D57DD0"/>
    <w:rsid w:val="00D57F2C"/>
    <w:rsid w:val="00D60196"/>
    <w:rsid w:val="00D656A6"/>
    <w:rsid w:val="00D718D0"/>
    <w:rsid w:val="00D71F40"/>
    <w:rsid w:val="00D7206F"/>
    <w:rsid w:val="00D72323"/>
    <w:rsid w:val="00D81493"/>
    <w:rsid w:val="00D814AC"/>
    <w:rsid w:val="00D81DA3"/>
    <w:rsid w:val="00D823DA"/>
    <w:rsid w:val="00D8370B"/>
    <w:rsid w:val="00D86650"/>
    <w:rsid w:val="00D875DE"/>
    <w:rsid w:val="00D91F90"/>
    <w:rsid w:val="00DA2F7A"/>
    <w:rsid w:val="00DB4250"/>
    <w:rsid w:val="00DC00B5"/>
    <w:rsid w:val="00DC7A73"/>
    <w:rsid w:val="00DD1F50"/>
    <w:rsid w:val="00DD6412"/>
    <w:rsid w:val="00DD690A"/>
    <w:rsid w:val="00DD7CA0"/>
    <w:rsid w:val="00DE2551"/>
    <w:rsid w:val="00DE2AB5"/>
    <w:rsid w:val="00DE30EC"/>
    <w:rsid w:val="00DE66F3"/>
    <w:rsid w:val="00DF7AB0"/>
    <w:rsid w:val="00E00DED"/>
    <w:rsid w:val="00E066E3"/>
    <w:rsid w:val="00E06953"/>
    <w:rsid w:val="00E06BC7"/>
    <w:rsid w:val="00E06F74"/>
    <w:rsid w:val="00E0749F"/>
    <w:rsid w:val="00E1128E"/>
    <w:rsid w:val="00E149DA"/>
    <w:rsid w:val="00E14CC5"/>
    <w:rsid w:val="00E202E3"/>
    <w:rsid w:val="00E206E3"/>
    <w:rsid w:val="00E21322"/>
    <w:rsid w:val="00E23C55"/>
    <w:rsid w:val="00E24C92"/>
    <w:rsid w:val="00E24EDA"/>
    <w:rsid w:val="00E26207"/>
    <w:rsid w:val="00E26C22"/>
    <w:rsid w:val="00E31F46"/>
    <w:rsid w:val="00E327F5"/>
    <w:rsid w:val="00E3342B"/>
    <w:rsid w:val="00E44AF5"/>
    <w:rsid w:val="00E47AAF"/>
    <w:rsid w:val="00E500E8"/>
    <w:rsid w:val="00E50354"/>
    <w:rsid w:val="00E505E5"/>
    <w:rsid w:val="00E50BD0"/>
    <w:rsid w:val="00E648B1"/>
    <w:rsid w:val="00E66380"/>
    <w:rsid w:val="00E66C65"/>
    <w:rsid w:val="00E6701A"/>
    <w:rsid w:val="00E676BC"/>
    <w:rsid w:val="00E71137"/>
    <w:rsid w:val="00E72DC1"/>
    <w:rsid w:val="00E757A0"/>
    <w:rsid w:val="00E7744E"/>
    <w:rsid w:val="00E77A16"/>
    <w:rsid w:val="00E77EB9"/>
    <w:rsid w:val="00E80CC2"/>
    <w:rsid w:val="00E82923"/>
    <w:rsid w:val="00E82C6A"/>
    <w:rsid w:val="00E90A95"/>
    <w:rsid w:val="00E90D22"/>
    <w:rsid w:val="00EA2ED9"/>
    <w:rsid w:val="00EA468F"/>
    <w:rsid w:val="00EA5C5D"/>
    <w:rsid w:val="00EA7FA5"/>
    <w:rsid w:val="00EB1294"/>
    <w:rsid w:val="00EB1982"/>
    <w:rsid w:val="00EB216B"/>
    <w:rsid w:val="00EB231A"/>
    <w:rsid w:val="00EB5F5F"/>
    <w:rsid w:val="00EC3ABB"/>
    <w:rsid w:val="00EC5487"/>
    <w:rsid w:val="00EC5EF9"/>
    <w:rsid w:val="00EC7072"/>
    <w:rsid w:val="00EC7622"/>
    <w:rsid w:val="00EC7634"/>
    <w:rsid w:val="00ED0183"/>
    <w:rsid w:val="00ED1167"/>
    <w:rsid w:val="00ED1891"/>
    <w:rsid w:val="00ED279B"/>
    <w:rsid w:val="00ED3DDC"/>
    <w:rsid w:val="00ED4FDA"/>
    <w:rsid w:val="00ED5A8B"/>
    <w:rsid w:val="00ED6E18"/>
    <w:rsid w:val="00ED7E61"/>
    <w:rsid w:val="00EE1378"/>
    <w:rsid w:val="00EE381D"/>
    <w:rsid w:val="00EE7067"/>
    <w:rsid w:val="00EF038A"/>
    <w:rsid w:val="00EF09BF"/>
    <w:rsid w:val="00EF1FCE"/>
    <w:rsid w:val="00EF5415"/>
    <w:rsid w:val="00EF55BF"/>
    <w:rsid w:val="00EF7414"/>
    <w:rsid w:val="00EF794E"/>
    <w:rsid w:val="00F02A95"/>
    <w:rsid w:val="00F04C2F"/>
    <w:rsid w:val="00F04F23"/>
    <w:rsid w:val="00F07BC0"/>
    <w:rsid w:val="00F10001"/>
    <w:rsid w:val="00F10259"/>
    <w:rsid w:val="00F1213B"/>
    <w:rsid w:val="00F123B9"/>
    <w:rsid w:val="00F15A0C"/>
    <w:rsid w:val="00F216E2"/>
    <w:rsid w:val="00F233E3"/>
    <w:rsid w:val="00F239D9"/>
    <w:rsid w:val="00F23CC7"/>
    <w:rsid w:val="00F244AA"/>
    <w:rsid w:val="00F24E43"/>
    <w:rsid w:val="00F271C3"/>
    <w:rsid w:val="00F2783B"/>
    <w:rsid w:val="00F30467"/>
    <w:rsid w:val="00F3229E"/>
    <w:rsid w:val="00F33592"/>
    <w:rsid w:val="00F35265"/>
    <w:rsid w:val="00F41551"/>
    <w:rsid w:val="00F444A3"/>
    <w:rsid w:val="00F50861"/>
    <w:rsid w:val="00F52BDE"/>
    <w:rsid w:val="00F544E7"/>
    <w:rsid w:val="00F55A0D"/>
    <w:rsid w:val="00F566CB"/>
    <w:rsid w:val="00F5675C"/>
    <w:rsid w:val="00F567FE"/>
    <w:rsid w:val="00F56C6C"/>
    <w:rsid w:val="00F57EC0"/>
    <w:rsid w:val="00F62B6F"/>
    <w:rsid w:val="00F637E4"/>
    <w:rsid w:val="00F64CA0"/>
    <w:rsid w:val="00F65312"/>
    <w:rsid w:val="00F6553F"/>
    <w:rsid w:val="00F65E64"/>
    <w:rsid w:val="00F668AC"/>
    <w:rsid w:val="00F73B47"/>
    <w:rsid w:val="00F768DD"/>
    <w:rsid w:val="00F82234"/>
    <w:rsid w:val="00F86516"/>
    <w:rsid w:val="00F9095E"/>
    <w:rsid w:val="00F929DA"/>
    <w:rsid w:val="00F93B7F"/>
    <w:rsid w:val="00F94346"/>
    <w:rsid w:val="00F94F5A"/>
    <w:rsid w:val="00F9559A"/>
    <w:rsid w:val="00FA0E20"/>
    <w:rsid w:val="00FA2B5F"/>
    <w:rsid w:val="00FA3396"/>
    <w:rsid w:val="00FA3682"/>
    <w:rsid w:val="00FA6305"/>
    <w:rsid w:val="00FA6FDB"/>
    <w:rsid w:val="00FA7908"/>
    <w:rsid w:val="00FA7B54"/>
    <w:rsid w:val="00FA7CA7"/>
    <w:rsid w:val="00FB085C"/>
    <w:rsid w:val="00FB26D6"/>
    <w:rsid w:val="00FB497F"/>
    <w:rsid w:val="00FB6156"/>
    <w:rsid w:val="00FB7B5D"/>
    <w:rsid w:val="00FC08F0"/>
    <w:rsid w:val="00FC1A2D"/>
    <w:rsid w:val="00FC51EB"/>
    <w:rsid w:val="00FC58FF"/>
    <w:rsid w:val="00FC7153"/>
    <w:rsid w:val="00FC7ED0"/>
    <w:rsid w:val="00FD05CC"/>
    <w:rsid w:val="00FD0DBF"/>
    <w:rsid w:val="00FE13FE"/>
    <w:rsid w:val="00FE2827"/>
    <w:rsid w:val="00FE2D2F"/>
    <w:rsid w:val="00FE2E07"/>
    <w:rsid w:val="00FE36C0"/>
    <w:rsid w:val="00FE61C7"/>
    <w:rsid w:val="00FF2D3C"/>
    <w:rsid w:val="00FF41B6"/>
    <w:rsid w:val="00FF4F70"/>
    <w:rsid w:val="00FF6215"/>
    <w:rsid w:val="00FF6271"/>
    <w:rsid w:val="00FF6B3C"/>
    <w:rsid w:val="00FF6EF3"/>
    <w:rsid w:val="00FF71B2"/>
    <w:rsid w:val="00FF793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1D6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3B"/>
    <w:pPr>
      <w:spacing w:after="120"/>
      <w:jc w:val="both"/>
    </w:pPr>
    <w:rPr>
      <w:rFonts w:ascii="Times New Roman" w:hAnsi="Times New Roman"/>
      <w:sz w:val="22"/>
      <w:szCs w:val="24"/>
      <w:lang w:eastAsia="en-US"/>
    </w:rPr>
  </w:style>
  <w:style w:type="paragraph" w:styleId="Nadpis1">
    <w:name w:val="heading 1"/>
    <w:basedOn w:val="Normln"/>
    <w:next w:val="Normln-Odstavec"/>
    <w:link w:val="Nadpis1Char"/>
    <w:uiPriority w:val="99"/>
    <w:qFormat/>
    <w:locked/>
    <w:rsid w:val="00C3263B"/>
    <w:pPr>
      <w:keepNext/>
      <w:spacing w:before="240" w:after="60"/>
      <w:outlineLvl w:val="0"/>
    </w:pPr>
    <w:rPr>
      <w:rFonts w:ascii="Cambria" w:hAnsi="Cambria"/>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9"/>
    <w:qFormat/>
    <w:locked/>
    <w:rsid w:val="001E59E4"/>
    <w:pPr>
      <w:keepNext/>
      <w:numPr>
        <w:ilvl w:val="1"/>
        <w:numId w:val="1"/>
      </w:numPr>
      <w:tabs>
        <w:tab w:val="left" w:pos="1418"/>
      </w:tabs>
      <w:spacing w:before="240" w:after="60"/>
      <w:outlineLvl w:val="1"/>
    </w:pPr>
    <w:rPr>
      <w:rFonts w:ascii="Arial" w:hAnsi="Arial"/>
      <w:b/>
      <w:bCs/>
      <w:i/>
      <w:iCs/>
      <w:sz w:val="28"/>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locked/>
    <w:rsid w:val="001E59E4"/>
    <w:pPr>
      <w:keepNext/>
      <w:numPr>
        <w:ilvl w:val="2"/>
        <w:numId w:val="1"/>
      </w:numPr>
      <w:spacing w:before="240" w:after="60"/>
      <w:outlineLvl w:val="2"/>
    </w:pPr>
    <w:rPr>
      <w:rFonts w:ascii="Arial" w:hAnsi="Arial"/>
      <w:b/>
      <w:bCs/>
      <w:sz w:val="26"/>
      <w:szCs w:val="26"/>
    </w:rPr>
  </w:style>
  <w:style w:type="paragraph" w:styleId="Nadpis9">
    <w:name w:val="heading 9"/>
    <w:basedOn w:val="Normln"/>
    <w:next w:val="Normln"/>
    <w:link w:val="Nadpis9Char"/>
    <w:semiHidden/>
    <w:unhideWhenUsed/>
    <w:qFormat/>
    <w:locked/>
    <w:rsid w:val="005E613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C5D72"/>
    <w:rPr>
      <w:rFonts w:ascii="Cambria" w:hAnsi="Cambria" w:cs="Times New Roman"/>
      <w:b/>
      <w:bCs/>
      <w:kern w:val="32"/>
      <w:sz w:val="32"/>
      <w:szCs w:val="32"/>
      <w:lang w:val="en-US" w:eastAsia="en-US"/>
    </w:rPr>
  </w:style>
  <w:style w:type="character" w:customStyle="1" w:styleId="Heading2Char">
    <w:name w:val="Heading 2 Char"/>
    <w:uiPriority w:val="99"/>
    <w:semiHidden/>
    <w:rsid w:val="008C5D72"/>
    <w:rPr>
      <w:rFonts w:ascii="Cambria" w:hAnsi="Cambria" w:cs="Times New Roman"/>
      <w:b/>
      <w:bCs/>
      <w:i/>
      <w:iCs/>
      <w:sz w:val="28"/>
      <w:szCs w:val="28"/>
      <w:lang w:val="en-US" w:eastAsia="en-US"/>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link w:val="Nadpis3"/>
    <w:uiPriority w:val="99"/>
    <w:locked/>
    <w:rsid w:val="008C5D72"/>
    <w:rPr>
      <w:rFonts w:ascii="Arial" w:hAnsi="Arial"/>
      <w:b/>
      <w:bCs/>
      <w:sz w:val="26"/>
      <w:szCs w:val="26"/>
      <w:lang w:eastAsia="en-US"/>
    </w:rPr>
  </w:style>
  <w:style w:type="paragraph" w:styleId="Zhlav">
    <w:name w:val="header"/>
    <w:basedOn w:val="Normln"/>
    <w:link w:val="ZhlavChar"/>
    <w:rsid w:val="00C9076C"/>
    <w:pPr>
      <w:tabs>
        <w:tab w:val="center" w:pos="4320"/>
        <w:tab w:val="right" w:pos="8640"/>
      </w:tabs>
    </w:pPr>
    <w:rPr>
      <w:rFonts w:ascii="Cambria" w:hAnsi="Cambria"/>
      <w:sz w:val="20"/>
      <w:szCs w:val="20"/>
    </w:rPr>
  </w:style>
  <w:style w:type="character" w:customStyle="1" w:styleId="ZhlavChar">
    <w:name w:val="Záhlaví Char"/>
    <w:link w:val="Zhlav"/>
    <w:locked/>
    <w:rsid w:val="00C9076C"/>
    <w:rPr>
      <w:rFonts w:cs="Times New Roman"/>
    </w:rPr>
  </w:style>
  <w:style w:type="paragraph" w:styleId="Zpat">
    <w:name w:val="footer"/>
    <w:basedOn w:val="Normln"/>
    <w:link w:val="ZpatChar"/>
    <w:uiPriority w:val="99"/>
    <w:rsid w:val="00C9076C"/>
    <w:pPr>
      <w:tabs>
        <w:tab w:val="center" w:pos="4320"/>
        <w:tab w:val="right" w:pos="8640"/>
      </w:tabs>
    </w:pPr>
    <w:rPr>
      <w:rFonts w:ascii="Cambria" w:hAnsi="Cambria"/>
      <w:sz w:val="20"/>
      <w:szCs w:val="20"/>
    </w:rPr>
  </w:style>
  <w:style w:type="character" w:customStyle="1" w:styleId="ZpatChar">
    <w:name w:val="Zápatí Char"/>
    <w:link w:val="Zpat"/>
    <w:uiPriority w:val="99"/>
    <w:locked/>
    <w:rsid w:val="00C9076C"/>
    <w:rPr>
      <w:rFonts w:cs="Times New Roman"/>
    </w:rPr>
  </w:style>
  <w:style w:type="paragraph" w:styleId="Textbubliny">
    <w:name w:val="Balloon Text"/>
    <w:basedOn w:val="Normln"/>
    <w:link w:val="TextbublinyChar"/>
    <w:uiPriority w:val="99"/>
    <w:semiHidden/>
    <w:rsid w:val="00C9076C"/>
    <w:rPr>
      <w:rFonts w:ascii="Lucida Grande" w:hAnsi="Lucida Grande"/>
      <w:sz w:val="18"/>
      <w:szCs w:val="18"/>
    </w:rPr>
  </w:style>
  <w:style w:type="character" w:customStyle="1" w:styleId="TextbublinyChar">
    <w:name w:val="Text bubliny Char"/>
    <w:link w:val="Textbubliny"/>
    <w:uiPriority w:val="99"/>
    <w:semiHidden/>
    <w:locked/>
    <w:rsid w:val="00C9076C"/>
    <w:rPr>
      <w:rFonts w:ascii="Lucida Grande" w:hAnsi="Lucida Grande" w:cs="Lucida Grande"/>
      <w:sz w:val="18"/>
      <w:szCs w:val="18"/>
    </w:rPr>
  </w:style>
  <w:style w:type="paragraph" w:styleId="Textkomente">
    <w:name w:val="annotation text"/>
    <w:basedOn w:val="Normln"/>
    <w:link w:val="TextkomenteChar"/>
    <w:uiPriority w:val="99"/>
    <w:semiHidden/>
    <w:rsid w:val="00C9076C"/>
    <w:rPr>
      <w:rFonts w:ascii="Cambria" w:hAnsi="Cambria"/>
      <w:sz w:val="20"/>
      <w:szCs w:val="20"/>
    </w:rPr>
  </w:style>
  <w:style w:type="character" w:customStyle="1" w:styleId="TextkomenteChar">
    <w:name w:val="Text komentáře Char"/>
    <w:link w:val="Textkomente"/>
    <w:uiPriority w:val="99"/>
    <w:semiHidden/>
    <w:locked/>
    <w:rsid w:val="00C9076C"/>
    <w:rPr>
      <w:rFonts w:cs="Times New Roman"/>
    </w:rPr>
  </w:style>
  <w:style w:type="character" w:styleId="Odkaznakoment">
    <w:name w:val="annotation reference"/>
    <w:uiPriority w:val="99"/>
    <w:rsid w:val="00C9076C"/>
    <w:rPr>
      <w:rFonts w:cs="Times New Roman"/>
      <w:sz w:val="16"/>
      <w:szCs w:val="16"/>
    </w:rPr>
  </w:style>
  <w:style w:type="table" w:styleId="Mkatabulky">
    <w:name w:val="Table Grid"/>
    <w:basedOn w:val="Normlntabulka"/>
    <w:uiPriority w:val="99"/>
    <w:rsid w:val="00C9076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 Odstavec"/>
    <w:basedOn w:val="Normln"/>
    <w:link w:val="Normln-OdstavecCharChar"/>
    <w:uiPriority w:val="99"/>
    <w:rsid w:val="001E59E4"/>
    <w:pPr>
      <w:numPr>
        <w:ilvl w:val="3"/>
        <w:numId w:val="1"/>
      </w:numPr>
    </w:pPr>
    <w:rPr>
      <w:lang w:eastAsia="cs-CZ"/>
    </w:rPr>
  </w:style>
  <w:style w:type="paragraph" w:customStyle="1" w:styleId="Normln-Psmeno">
    <w:name w:val="Normální - Písmeno"/>
    <w:basedOn w:val="Normln"/>
    <w:uiPriority w:val="99"/>
    <w:rsid w:val="001E59E4"/>
    <w:pPr>
      <w:numPr>
        <w:ilvl w:val="4"/>
        <w:numId w:val="1"/>
      </w:numPr>
    </w:pPr>
    <w:rPr>
      <w:lang w:eastAsia="cs-CZ"/>
    </w:rPr>
  </w:style>
  <w:style w:type="paragraph" w:customStyle="1" w:styleId="Normln-msk">
    <w:name w:val="Normální - Římská"/>
    <w:basedOn w:val="Normln"/>
    <w:uiPriority w:val="99"/>
    <w:rsid w:val="001E59E4"/>
    <w:pPr>
      <w:numPr>
        <w:ilvl w:val="5"/>
        <w:numId w:val="1"/>
      </w:numPr>
      <w:tabs>
        <w:tab w:val="left" w:pos="1985"/>
      </w:tabs>
    </w:pPr>
  </w:style>
  <w:style w:type="character" w:customStyle="1" w:styleId="Normln-OdstavecCharChar">
    <w:name w:val="Normální - Odstavec Char Char"/>
    <w:link w:val="Normln-Odstavec"/>
    <w:uiPriority w:val="99"/>
    <w:locked/>
    <w:rsid w:val="001E59E4"/>
    <w:rPr>
      <w:rFonts w:ascii="Times New Roman" w:hAnsi="Times New Roman"/>
      <w:sz w:val="22"/>
      <w:szCs w:val="24"/>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uiPriority w:val="99"/>
    <w:locked/>
    <w:rsid w:val="001E59E4"/>
    <w:rPr>
      <w:rFonts w:ascii="Arial" w:hAnsi="Arial"/>
      <w:b/>
      <w:bCs/>
      <w:i/>
      <w:iCs/>
      <w:sz w:val="28"/>
      <w:szCs w:val="28"/>
      <w:lang w:eastAsia="en-US"/>
    </w:rPr>
  </w:style>
  <w:style w:type="paragraph" w:styleId="Pedmtkomente">
    <w:name w:val="annotation subject"/>
    <w:basedOn w:val="Textkomente"/>
    <w:next w:val="Textkomente"/>
    <w:link w:val="PedmtkomenteChar"/>
    <w:uiPriority w:val="99"/>
    <w:semiHidden/>
    <w:rsid w:val="00D53FC6"/>
    <w:rPr>
      <w:rFonts w:ascii="Times New Roman" w:hAnsi="Times New Roman"/>
      <w:b/>
      <w:bCs/>
      <w:lang w:val="en-US"/>
    </w:rPr>
  </w:style>
  <w:style w:type="character" w:customStyle="1" w:styleId="PedmtkomenteChar">
    <w:name w:val="Předmět komentáře Char"/>
    <w:link w:val="Pedmtkomente"/>
    <w:uiPriority w:val="99"/>
    <w:semiHidden/>
    <w:locked/>
    <w:rsid w:val="008C5D72"/>
    <w:rPr>
      <w:rFonts w:ascii="Times New Roman" w:hAnsi="Times New Roman" w:cs="Times New Roman"/>
      <w:b/>
      <w:bCs/>
      <w:sz w:val="20"/>
      <w:szCs w:val="20"/>
      <w:lang w:val="en-US" w:eastAsia="en-US"/>
    </w:rPr>
  </w:style>
  <w:style w:type="paragraph" w:styleId="Titulek">
    <w:name w:val="caption"/>
    <w:basedOn w:val="Normln"/>
    <w:next w:val="Normln"/>
    <w:unhideWhenUsed/>
    <w:qFormat/>
    <w:locked/>
    <w:rsid w:val="00922D48"/>
    <w:rPr>
      <w:b/>
      <w:bCs/>
      <w:sz w:val="20"/>
      <w:szCs w:val="20"/>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8650C0"/>
    <w:pPr>
      <w:spacing w:after="0"/>
      <w:ind w:left="720"/>
      <w:contextualSpacing/>
      <w:jc w:val="left"/>
    </w:pPr>
    <w:rPr>
      <w:rFonts w:ascii="Times" w:eastAsia="Times New Roman" w:hAnsi="Times"/>
      <w:sz w:val="20"/>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99"/>
    <w:rsid w:val="008650C0"/>
    <w:rPr>
      <w:rFonts w:ascii="Times" w:eastAsia="Times New Roman" w:hAnsi="Times"/>
      <w:sz w:val="20"/>
      <w:szCs w:val="24"/>
    </w:rPr>
  </w:style>
  <w:style w:type="paragraph" w:styleId="Podtitul">
    <w:name w:val="Subtitle"/>
    <w:basedOn w:val="Normln"/>
    <w:next w:val="Normln"/>
    <w:link w:val="PodtitulChar"/>
    <w:uiPriority w:val="11"/>
    <w:qFormat/>
    <w:locked/>
    <w:rsid w:val="008650C0"/>
    <w:pPr>
      <w:numPr>
        <w:ilvl w:val="1"/>
      </w:numPr>
      <w:spacing w:before="240" w:after="200" w:line="276" w:lineRule="auto"/>
      <w:jc w:val="left"/>
    </w:pPr>
    <w:rPr>
      <w:rFonts w:ascii="Cambria" w:eastAsia="Times New Roman" w:hAnsi="Cambria"/>
      <w:i/>
      <w:iCs/>
      <w:color w:val="4F81BD"/>
      <w:spacing w:val="15"/>
      <w:sz w:val="24"/>
    </w:rPr>
  </w:style>
  <w:style w:type="character" w:customStyle="1" w:styleId="PodtitulChar">
    <w:name w:val="Podtitul Char"/>
    <w:link w:val="Podtitul"/>
    <w:uiPriority w:val="11"/>
    <w:rsid w:val="008650C0"/>
    <w:rPr>
      <w:rFonts w:eastAsia="Times New Roman"/>
      <w:i/>
      <w:iCs/>
      <w:color w:val="4F81BD"/>
      <w:spacing w:val="15"/>
      <w:sz w:val="24"/>
      <w:szCs w:val="24"/>
      <w:lang w:eastAsia="en-US"/>
    </w:rPr>
  </w:style>
  <w:style w:type="paragraph" w:customStyle="1" w:styleId="Default">
    <w:name w:val="Default"/>
    <w:rsid w:val="001955F4"/>
    <w:pPr>
      <w:autoSpaceDE w:val="0"/>
      <w:autoSpaceDN w:val="0"/>
      <w:adjustRightInd w:val="0"/>
    </w:pPr>
    <w:rPr>
      <w:rFonts w:ascii="Wingdings" w:eastAsia="Times New Roman" w:hAnsi="Wingdings" w:cs="Wingdings"/>
      <w:color w:val="000000"/>
      <w:sz w:val="24"/>
      <w:szCs w:val="24"/>
    </w:rPr>
  </w:style>
  <w:style w:type="character" w:customStyle="1" w:styleId="para1">
    <w:name w:val="para1"/>
    <w:rsid w:val="00960570"/>
    <w:rPr>
      <w:rFonts w:ascii="Arial" w:hAnsi="Arial" w:cs="Arial"/>
      <w:sz w:val="18"/>
      <w:szCs w:val="18"/>
    </w:rPr>
  </w:style>
  <w:style w:type="paragraph" w:customStyle="1" w:styleId="ListParagraph1">
    <w:name w:val="List Paragraph1"/>
    <w:basedOn w:val="Normln"/>
    <w:rsid w:val="00960570"/>
    <w:pPr>
      <w:widowControl w:val="0"/>
      <w:suppressAutoHyphens/>
      <w:spacing w:after="0"/>
      <w:ind w:left="720"/>
      <w:jc w:val="left"/>
    </w:pPr>
    <w:rPr>
      <w:rFonts w:ascii="Liberation Serif" w:eastAsia="Arial" w:hAnsi="Liberation Serif" w:cs="Lucida Sans"/>
      <w:kern w:val="1"/>
      <w:sz w:val="24"/>
      <w:lang w:eastAsia="hi-IN" w:bidi="hi-IN"/>
    </w:rPr>
  </w:style>
  <w:style w:type="character" w:customStyle="1" w:styleId="Zvraznn1">
    <w:name w:val="Zvýraznění1"/>
    <w:qFormat/>
    <w:locked/>
    <w:rsid w:val="00351618"/>
    <w:rPr>
      <w:i/>
      <w:iCs/>
      <w:color w:val="5A5A5A"/>
    </w:rPr>
  </w:style>
  <w:style w:type="paragraph" w:customStyle="1" w:styleId="Obsahtabulky">
    <w:name w:val="Obsah tabulky"/>
    <w:basedOn w:val="Normln"/>
    <w:rsid w:val="00B80B62"/>
    <w:pPr>
      <w:widowControl w:val="0"/>
      <w:suppressLineNumbers/>
      <w:suppressAutoHyphens/>
      <w:spacing w:after="0"/>
      <w:jc w:val="left"/>
    </w:pPr>
    <w:rPr>
      <w:rFonts w:ascii="Calibri" w:eastAsia="DejaVu Sans" w:hAnsi="Calibri" w:cs="Calibri"/>
      <w:kern w:val="1"/>
      <w:sz w:val="20"/>
      <w:szCs w:val="20"/>
      <w:lang w:eastAsia="cs-CZ"/>
    </w:rPr>
  </w:style>
  <w:style w:type="paragraph" w:customStyle="1" w:styleId="Nadpistabulky">
    <w:name w:val="Nadpis tabulky"/>
    <w:basedOn w:val="Obsahtabulky"/>
    <w:rsid w:val="00B80B62"/>
    <w:pPr>
      <w:jc w:val="center"/>
    </w:pPr>
    <w:rPr>
      <w:b/>
      <w:bCs/>
    </w:rPr>
  </w:style>
  <w:style w:type="character" w:styleId="Hypertextovodkaz">
    <w:name w:val="Hyperlink"/>
    <w:uiPriority w:val="99"/>
    <w:unhideWhenUsed/>
    <w:rsid w:val="00C56E51"/>
    <w:rPr>
      <w:color w:val="0000FF"/>
      <w:u w:val="single"/>
    </w:rPr>
  </w:style>
  <w:style w:type="paragraph" w:customStyle="1" w:styleId="Tabulka">
    <w:name w:val="Tabulka"/>
    <w:basedOn w:val="Normln"/>
    <w:next w:val="Normln"/>
    <w:qFormat/>
    <w:rsid w:val="004B5764"/>
    <w:pPr>
      <w:numPr>
        <w:numId w:val="3"/>
      </w:numPr>
      <w:spacing w:before="200" w:after="200" w:line="276" w:lineRule="auto"/>
      <w:jc w:val="center"/>
    </w:pPr>
    <w:rPr>
      <w:rFonts w:ascii="Calibri" w:eastAsia="Times New Roman" w:hAnsi="Calibri"/>
      <w:sz w:val="20"/>
      <w:szCs w:val="20"/>
      <w:lang w:bidi="en-US"/>
    </w:rPr>
  </w:style>
  <w:style w:type="paragraph" w:styleId="Zkladntext">
    <w:name w:val="Body Text"/>
    <w:basedOn w:val="Normln"/>
    <w:link w:val="ZkladntextChar"/>
    <w:uiPriority w:val="99"/>
    <w:semiHidden/>
    <w:unhideWhenUsed/>
    <w:rsid w:val="00274083"/>
    <w:rPr>
      <w:rFonts w:ascii="Palatino Linotype" w:eastAsia="Calibri" w:hAnsi="Palatino Linotype"/>
      <w:sz w:val="24"/>
      <w:lang w:eastAsia="ar-SA"/>
    </w:rPr>
  </w:style>
  <w:style w:type="character" w:customStyle="1" w:styleId="ZkladntextChar">
    <w:name w:val="Základní text Char"/>
    <w:link w:val="Zkladntext"/>
    <w:uiPriority w:val="99"/>
    <w:semiHidden/>
    <w:rsid w:val="00274083"/>
    <w:rPr>
      <w:rFonts w:ascii="Palatino Linotype" w:eastAsia="Calibri" w:hAnsi="Palatino Linotype"/>
      <w:sz w:val="24"/>
      <w:szCs w:val="24"/>
      <w:lang w:eastAsia="ar-SA"/>
    </w:rPr>
  </w:style>
  <w:style w:type="paragraph" w:customStyle="1" w:styleId="Odstavecinzert">
    <w:name w:val="Odstavec inzert"/>
    <w:basedOn w:val="Normln"/>
    <w:rsid w:val="00274083"/>
    <w:pPr>
      <w:spacing w:after="0"/>
      <w:ind w:left="340"/>
    </w:pPr>
    <w:rPr>
      <w:rFonts w:ascii="Arial" w:eastAsia="Calibri" w:hAnsi="Arial" w:cs="Arial"/>
      <w:sz w:val="20"/>
      <w:szCs w:val="20"/>
      <w:lang w:eastAsia="cs-CZ"/>
    </w:rPr>
  </w:style>
  <w:style w:type="paragraph" w:customStyle="1" w:styleId="Text">
    <w:name w:val="Text"/>
    <w:basedOn w:val="Normln"/>
    <w:rsid w:val="00274083"/>
    <w:pPr>
      <w:ind w:left="1134"/>
    </w:pPr>
    <w:rPr>
      <w:rFonts w:ascii="Arial" w:eastAsia="Calibri" w:hAnsi="Arial" w:cs="Arial"/>
      <w:szCs w:val="22"/>
      <w:lang w:eastAsia="cs-CZ"/>
    </w:rPr>
  </w:style>
  <w:style w:type="paragraph" w:styleId="Revize">
    <w:name w:val="Revision"/>
    <w:hidden/>
    <w:uiPriority w:val="99"/>
    <w:semiHidden/>
    <w:rsid w:val="00A17114"/>
    <w:rPr>
      <w:rFonts w:ascii="Times New Roman" w:hAnsi="Times New Roman"/>
      <w:sz w:val="22"/>
      <w:szCs w:val="24"/>
      <w:lang w:eastAsia="en-US"/>
    </w:rPr>
  </w:style>
  <w:style w:type="character" w:customStyle="1" w:styleId="Nadpis9Char">
    <w:name w:val="Nadpis 9 Char"/>
    <w:basedOn w:val="Standardnpsmoodstavce"/>
    <w:link w:val="Nadpis9"/>
    <w:semiHidden/>
    <w:rsid w:val="005E6134"/>
    <w:rPr>
      <w:rFonts w:asciiTheme="majorHAnsi" w:eastAsiaTheme="majorEastAsia" w:hAnsiTheme="majorHAnsi" w:cstheme="majorBidi"/>
      <w:i/>
      <w:iCs/>
      <w:color w:val="272727" w:themeColor="text1" w:themeTint="D8"/>
      <w:sz w:val="21"/>
      <w:szCs w:val="21"/>
      <w:lang w:eastAsia="en-US"/>
    </w:rPr>
  </w:style>
  <w:style w:type="paragraph" w:styleId="Normlnweb">
    <w:name w:val="Normal (Web)"/>
    <w:basedOn w:val="Normln"/>
    <w:uiPriority w:val="99"/>
    <w:unhideWhenUsed/>
    <w:rsid w:val="00E505E5"/>
    <w:pPr>
      <w:spacing w:before="100" w:beforeAutospacing="1" w:after="100" w:afterAutospacing="1"/>
      <w:jc w:val="left"/>
    </w:pPr>
    <w:rPr>
      <w:rFonts w:eastAsia="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90760">
      <w:bodyDiv w:val="1"/>
      <w:marLeft w:val="0"/>
      <w:marRight w:val="0"/>
      <w:marTop w:val="0"/>
      <w:marBottom w:val="0"/>
      <w:divBdr>
        <w:top w:val="none" w:sz="0" w:space="0" w:color="auto"/>
        <w:left w:val="none" w:sz="0" w:space="0" w:color="auto"/>
        <w:bottom w:val="none" w:sz="0" w:space="0" w:color="auto"/>
        <w:right w:val="none" w:sz="0" w:space="0" w:color="auto"/>
      </w:divBdr>
    </w:div>
    <w:div w:id="160321209">
      <w:bodyDiv w:val="1"/>
      <w:marLeft w:val="0"/>
      <w:marRight w:val="0"/>
      <w:marTop w:val="0"/>
      <w:marBottom w:val="0"/>
      <w:divBdr>
        <w:top w:val="none" w:sz="0" w:space="0" w:color="auto"/>
        <w:left w:val="none" w:sz="0" w:space="0" w:color="auto"/>
        <w:bottom w:val="none" w:sz="0" w:space="0" w:color="auto"/>
        <w:right w:val="none" w:sz="0" w:space="0" w:color="auto"/>
      </w:divBdr>
    </w:div>
    <w:div w:id="235749310">
      <w:bodyDiv w:val="1"/>
      <w:marLeft w:val="0"/>
      <w:marRight w:val="0"/>
      <w:marTop w:val="0"/>
      <w:marBottom w:val="0"/>
      <w:divBdr>
        <w:top w:val="none" w:sz="0" w:space="0" w:color="auto"/>
        <w:left w:val="none" w:sz="0" w:space="0" w:color="auto"/>
        <w:bottom w:val="none" w:sz="0" w:space="0" w:color="auto"/>
        <w:right w:val="none" w:sz="0" w:space="0" w:color="auto"/>
      </w:divBdr>
    </w:div>
    <w:div w:id="314603650">
      <w:bodyDiv w:val="1"/>
      <w:marLeft w:val="0"/>
      <w:marRight w:val="0"/>
      <w:marTop w:val="0"/>
      <w:marBottom w:val="0"/>
      <w:divBdr>
        <w:top w:val="none" w:sz="0" w:space="0" w:color="auto"/>
        <w:left w:val="none" w:sz="0" w:space="0" w:color="auto"/>
        <w:bottom w:val="none" w:sz="0" w:space="0" w:color="auto"/>
        <w:right w:val="none" w:sz="0" w:space="0" w:color="auto"/>
      </w:divBdr>
    </w:div>
    <w:div w:id="343096529">
      <w:bodyDiv w:val="1"/>
      <w:marLeft w:val="0"/>
      <w:marRight w:val="0"/>
      <w:marTop w:val="0"/>
      <w:marBottom w:val="0"/>
      <w:divBdr>
        <w:top w:val="none" w:sz="0" w:space="0" w:color="auto"/>
        <w:left w:val="none" w:sz="0" w:space="0" w:color="auto"/>
        <w:bottom w:val="none" w:sz="0" w:space="0" w:color="auto"/>
        <w:right w:val="none" w:sz="0" w:space="0" w:color="auto"/>
      </w:divBdr>
    </w:div>
    <w:div w:id="377780805">
      <w:bodyDiv w:val="1"/>
      <w:marLeft w:val="0"/>
      <w:marRight w:val="0"/>
      <w:marTop w:val="0"/>
      <w:marBottom w:val="0"/>
      <w:divBdr>
        <w:top w:val="none" w:sz="0" w:space="0" w:color="auto"/>
        <w:left w:val="none" w:sz="0" w:space="0" w:color="auto"/>
        <w:bottom w:val="none" w:sz="0" w:space="0" w:color="auto"/>
        <w:right w:val="none" w:sz="0" w:space="0" w:color="auto"/>
      </w:divBdr>
    </w:div>
    <w:div w:id="379063329">
      <w:bodyDiv w:val="1"/>
      <w:marLeft w:val="0"/>
      <w:marRight w:val="0"/>
      <w:marTop w:val="0"/>
      <w:marBottom w:val="0"/>
      <w:divBdr>
        <w:top w:val="none" w:sz="0" w:space="0" w:color="auto"/>
        <w:left w:val="none" w:sz="0" w:space="0" w:color="auto"/>
        <w:bottom w:val="none" w:sz="0" w:space="0" w:color="auto"/>
        <w:right w:val="none" w:sz="0" w:space="0" w:color="auto"/>
      </w:divBdr>
      <w:divsChild>
        <w:div w:id="1101954554">
          <w:marLeft w:val="0"/>
          <w:marRight w:val="0"/>
          <w:marTop w:val="0"/>
          <w:marBottom w:val="0"/>
          <w:divBdr>
            <w:top w:val="none" w:sz="0" w:space="0" w:color="auto"/>
            <w:left w:val="none" w:sz="0" w:space="0" w:color="auto"/>
            <w:bottom w:val="none" w:sz="0" w:space="0" w:color="auto"/>
            <w:right w:val="none" w:sz="0" w:space="0" w:color="auto"/>
          </w:divBdr>
          <w:divsChild>
            <w:div w:id="846793780">
              <w:marLeft w:val="0"/>
              <w:marRight w:val="0"/>
              <w:marTop w:val="0"/>
              <w:marBottom w:val="0"/>
              <w:divBdr>
                <w:top w:val="none" w:sz="0" w:space="0" w:color="auto"/>
                <w:left w:val="none" w:sz="0" w:space="0" w:color="auto"/>
                <w:bottom w:val="none" w:sz="0" w:space="0" w:color="auto"/>
                <w:right w:val="none" w:sz="0" w:space="0" w:color="auto"/>
              </w:divBdr>
              <w:divsChild>
                <w:div w:id="2030640792">
                  <w:marLeft w:val="0"/>
                  <w:marRight w:val="0"/>
                  <w:marTop w:val="0"/>
                  <w:marBottom w:val="0"/>
                  <w:divBdr>
                    <w:top w:val="none" w:sz="0" w:space="0" w:color="auto"/>
                    <w:left w:val="none" w:sz="0" w:space="0" w:color="auto"/>
                    <w:bottom w:val="none" w:sz="0" w:space="0" w:color="auto"/>
                    <w:right w:val="none" w:sz="0" w:space="0" w:color="auto"/>
                  </w:divBdr>
                  <w:divsChild>
                    <w:div w:id="662975578">
                      <w:marLeft w:val="0"/>
                      <w:marRight w:val="0"/>
                      <w:marTop w:val="0"/>
                      <w:marBottom w:val="0"/>
                      <w:divBdr>
                        <w:top w:val="none" w:sz="0" w:space="0" w:color="auto"/>
                        <w:left w:val="none" w:sz="0" w:space="0" w:color="auto"/>
                        <w:bottom w:val="none" w:sz="0" w:space="0" w:color="auto"/>
                        <w:right w:val="none" w:sz="0" w:space="0" w:color="auto"/>
                      </w:divBdr>
                      <w:divsChild>
                        <w:div w:id="1985117601">
                          <w:marLeft w:val="0"/>
                          <w:marRight w:val="0"/>
                          <w:marTop w:val="0"/>
                          <w:marBottom w:val="0"/>
                          <w:divBdr>
                            <w:top w:val="none" w:sz="0" w:space="0" w:color="auto"/>
                            <w:left w:val="none" w:sz="0" w:space="0" w:color="auto"/>
                            <w:bottom w:val="none" w:sz="0" w:space="0" w:color="auto"/>
                            <w:right w:val="none" w:sz="0" w:space="0" w:color="auto"/>
                          </w:divBdr>
                          <w:divsChild>
                            <w:div w:id="440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620602">
      <w:bodyDiv w:val="1"/>
      <w:marLeft w:val="0"/>
      <w:marRight w:val="0"/>
      <w:marTop w:val="0"/>
      <w:marBottom w:val="0"/>
      <w:divBdr>
        <w:top w:val="none" w:sz="0" w:space="0" w:color="auto"/>
        <w:left w:val="none" w:sz="0" w:space="0" w:color="auto"/>
        <w:bottom w:val="none" w:sz="0" w:space="0" w:color="auto"/>
        <w:right w:val="none" w:sz="0" w:space="0" w:color="auto"/>
      </w:divBdr>
    </w:div>
    <w:div w:id="490487783">
      <w:bodyDiv w:val="1"/>
      <w:marLeft w:val="0"/>
      <w:marRight w:val="0"/>
      <w:marTop w:val="0"/>
      <w:marBottom w:val="0"/>
      <w:divBdr>
        <w:top w:val="none" w:sz="0" w:space="0" w:color="auto"/>
        <w:left w:val="none" w:sz="0" w:space="0" w:color="auto"/>
        <w:bottom w:val="none" w:sz="0" w:space="0" w:color="auto"/>
        <w:right w:val="none" w:sz="0" w:space="0" w:color="auto"/>
      </w:divBdr>
    </w:div>
    <w:div w:id="569925444">
      <w:bodyDiv w:val="1"/>
      <w:marLeft w:val="0"/>
      <w:marRight w:val="0"/>
      <w:marTop w:val="0"/>
      <w:marBottom w:val="0"/>
      <w:divBdr>
        <w:top w:val="none" w:sz="0" w:space="0" w:color="auto"/>
        <w:left w:val="none" w:sz="0" w:space="0" w:color="auto"/>
        <w:bottom w:val="none" w:sz="0" w:space="0" w:color="auto"/>
        <w:right w:val="none" w:sz="0" w:space="0" w:color="auto"/>
      </w:divBdr>
    </w:div>
    <w:div w:id="658266977">
      <w:bodyDiv w:val="1"/>
      <w:marLeft w:val="0"/>
      <w:marRight w:val="0"/>
      <w:marTop w:val="0"/>
      <w:marBottom w:val="0"/>
      <w:divBdr>
        <w:top w:val="none" w:sz="0" w:space="0" w:color="auto"/>
        <w:left w:val="none" w:sz="0" w:space="0" w:color="auto"/>
        <w:bottom w:val="none" w:sz="0" w:space="0" w:color="auto"/>
        <w:right w:val="none" w:sz="0" w:space="0" w:color="auto"/>
      </w:divBdr>
    </w:div>
    <w:div w:id="775104785">
      <w:bodyDiv w:val="1"/>
      <w:marLeft w:val="0"/>
      <w:marRight w:val="0"/>
      <w:marTop w:val="0"/>
      <w:marBottom w:val="0"/>
      <w:divBdr>
        <w:top w:val="none" w:sz="0" w:space="0" w:color="auto"/>
        <w:left w:val="none" w:sz="0" w:space="0" w:color="auto"/>
        <w:bottom w:val="none" w:sz="0" w:space="0" w:color="auto"/>
        <w:right w:val="none" w:sz="0" w:space="0" w:color="auto"/>
      </w:divBdr>
    </w:div>
    <w:div w:id="840465044">
      <w:bodyDiv w:val="1"/>
      <w:marLeft w:val="0"/>
      <w:marRight w:val="0"/>
      <w:marTop w:val="0"/>
      <w:marBottom w:val="0"/>
      <w:divBdr>
        <w:top w:val="none" w:sz="0" w:space="0" w:color="auto"/>
        <w:left w:val="none" w:sz="0" w:space="0" w:color="auto"/>
        <w:bottom w:val="none" w:sz="0" w:space="0" w:color="auto"/>
        <w:right w:val="none" w:sz="0" w:space="0" w:color="auto"/>
      </w:divBdr>
    </w:div>
    <w:div w:id="918096615">
      <w:bodyDiv w:val="1"/>
      <w:marLeft w:val="0"/>
      <w:marRight w:val="0"/>
      <w:marTop w:val="0"/>
      <w:marBottom w:val="0"/>
      <w:divBdr>
        <w:top w:val="none" w:sz="0" w:space="0" w:color="auto"/>
        <w:left w:val="none" w:sz="0" w:space="0" w:color="auto"/>
        <w:bottom w:val="none" w:sz="0" w:space="0" w:color="auto"/>
        <w:right w:val="none" w:sz="0" w:space="0" w:color="auto"/>
      </w:divBdr>
    </w:div>
    <w:div w:id="931663511">
      <w:bodyDiv w:val="1"/>
      <w:marLeft w:val="0"/>
      <w:marRight w:val="0"/>
      <w:marTop w:val="0"/>
      <w:marBottom w:val="0"/>
      <w:divBdr>
        <w:top w:val="none" w:sz="0" w:space="0" w:color="auto"/>
        <w:left w:val="none" w:sz="0" w:space="0" w:color="auto"/>
        <w:bottom w:val="none" w:sz="0" w:space="0" w:color="auto"/>
        <w:right w:val="none" w:sz="0" w:space="0" w:color="auto"/>
      </w:divBdr>
      <w:divsChild>
        <w:div w:id="1040395282">
          <w:marLeft w:val="0"/>
          <w:marRight w:val="0"/>
          <w:marTop w:val="0"/>
          <w:marBottom w:val="0"/>
          <w:divBdr>
            <w:top w:val="none" w:sz="0" w:space="0" w:color="auto"/>
            <w:left w:val="none" w:sz="0" w:space="0" w:color="auto"/>
            <w:bottom w:val="none" w:sz="0" w:space="0" w:color="auto"/>
            <w:right w:val="none" w:sz="0" w:space="0" w:color="auto"/>
          </w:divBdr>
          <w:divsChild>
            <w:div w:id="1751465766">
              <w:marLeft w:val="0"/>
              <w:marRight w:val="0"/>
              <w:marTop w:val="0"/>
              <w:marBottom w:val="0"/>
              <w:divBdr>
                <w:top w:val="none" w:sz="0" w:space="0" w:color="auto"/>
                <w:left w:val="none" w:sz="0" w:space="0" w:color="auto"/>
                <w:bottom w:val="none" w:sz="0" w:space="0" w:color="auto"/>
                <w:right w:val="none" w:sz="0" w:space="0" w:color="auto"/>
              </w:divBdr>
              <w:divsChild>
                <w:div w:id="845823750">
                  <w:marLeft w:val="0"/>
                  <w:marRight w:val="0"/>
                  <w:marTop w:val="0"/>
                  <w:marBottom w:val="0"/>
                  <w:divBdr>
                    <w:top w:val="none" w:sz="0" w:space="0" w:color="auto"/>
                    <w:left w:val="none" w:sz="0" w:space="0" w:color="auto"/>
                    <w:bottom w:val="none" w:sz="0" w:space="0" w:color="auto"/>
                    <w:right w:val="none" w:sz="0" w:space="0" w:color="auto"/>
                  </w:divBdr>
                  <w:divsChild>
                    <w:div w:id="172610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715143">
      <w:bodyDiv w:val="1"/>
      <w:marLeft w:val="0"/>
      <w:marRight w:val="0"/>
      <w:marTop w:val="0"/>
      <w:marBottom w:val="0"/>
      <w:divBdr>
        <w:top w:val="none" w:sz="0" w:space="0" w:color="auto"/>
        <w:left w:val="none" w:sz="0" w:space="0" w:color="auto"/>
        <w:bottom w:val="none" w:sz="0" w:space="0" w:color="auto"/>
        <w:right w:val="none" w:sz="0" w:space="0" w:color="auto"/>
      </w:divBdr>
    </w:div>
    <w:div w:id="970130297">
      <w:bodyDiv w:val="1"/>
      <w:marLeft w:val="0"/>
      <w:marRight w:val="0"/>
      <w:marTop w:val="0"/>
      <w:marBottom w:val="0"/>
      <w:divBdr>
        <w:top w:val="none" w:sz="0" w:space="0" w:color="auto"/>
        <w:left w:val="none" w:sz="0" w:space="0" w:color="auto"/>
        <w:bottom w:val="none" w:sz="0" w:space="0" w:color="auto"/>
        <w:right w:val="none" w:sz="0" w:space="0" w:color="auto"/>
      </w:divBdr>
    </w:div>
    <w:div w:id="1003439979">
      <w:bodyDiv w:val="1"/>
      <w:marLeft w:val="0"/>
      <w:marRight w:val="0"/>
      <w:marTop w:val="0"/>
      <w:marBottom w:val="0"/>
      <w:divBdr>
        <w:top w:val="none" w:sz="0" w:space="0" w:color="auto"/>
        <w:left w:val="none" w:sz="0" w:space="0" w:color="auto"/>
        <w:bottom w:val="none" w:sz="0" w:space="0" w:color="auto"/>
        <w:right w:val="none" w:sz="0" w:space="0" w:color="auto"/>
      </w:divBdr>
    </w:div>
    <w:div w:id="1033068937">
      <w:bodyDiv w:val="1"/>
      <w:marLeft w:val="0"/>
      <w:marRight w:val="0"/>
      <w:marTop w:val="0"/>
      <w:marBottom w:val="0"/>
      <w:divBdr>
        <w:top w:val="none" w:sz="0" w:space="0" w:color="auto"/>
        <w:left w:val="none" w:sz="0" w:space="0" w:color="auto"/>
        <w:bottom w:val="none" w:sz="0" w:space="0" w:color="auto"/>
        <w:right w:val="none" w:sz="0" w:space="0" w:color="auto"/>
      </w:divBdr>
    </w:div>
    <w:div w:id="1039554513">
      <w:bodyDiv w:val="1"/>
      <w:marLeft w:val="0"/>
      <w:marRight w:val="0"/>
      <w:marTop w:val="0"/>
      <w:marBottom w:val="0"/>
      <w:divBdr>
        <w:top w:val="none" w:sz="0" w:space="0" w:color="auto"/>
        <w:left w:val="none" w:sz="0" w:space="0" w:color="auto"/>
        <w:bottom w:val="none" w:sz="0" w:space="0" w:color="auto"/>
        <w:right w:val="none" w:sz="0" w:space="0" w:color="auto"/>
      </w:divBdr>
    </w:div>
    <w:div w:id="1147435197">
      <w:bodyDiv w:val="1"/>
      <w:marLeft w:val="0"/>
      <w:marRight w:val="0"/>
      <w:marTop w:val="0"/>
      <w:marBottom w:val="0"/>
      <w:divBdr>
        <w:top w:val="none" w:sz="0" w:space="0" w:color="auto"/>
        <w:left w:val="none" w:sz="0" w:space="0" w:color="auto"/>
        <w:bottom w:val="none" w:sz="0" w:space="0" w:color="auto"/>
        <w:right w:val="none" w:sz="0" w:space="0" w:color="auto"/>
      </w:divBdr>
    </w:div>
    <w:div w:id="1160317085">
      <w:bodyDiv w:val="1"/>
      <w:marLeft w:val="0"/>
      <w:marRight w:val="0"/>
      <w:marTop w:val="0"/>
      <w:marBottom w:val="0"/>
      <w:divBdr>
        <w:top w:val="none" w:sz="0" w:space="0" w:color="auto"/>
        <w:left w:val="none" w:sz="0" w:space="0" w:color="auto"/>
        <w:bottom w:val="none" w:sz="0" w:space="0" w:color="auto"/>
        <w:right w:val="none" w:sz="0" w:space="0" w:color="auto"/>
      </w:divBdr>
    </w:div>
    <w:div w:id="1203830971">
      <w:bodyDiv w:val="1"/>
      <w:marLeft w:val="0"/>
      <w:marRight w:val="0"/>
      <w:marTop w:val="0"/>
      <w:marBottom w:val="0"/>
      <w:divBdr>
        <w:top w:val="none" w:sz="0" w:space="0" w:color="auto"/>
        <w:left w:val="none" w:sz="0" w:space="0" w:color="auto"/>
        <w:bottom w:val="none" w:sz="0" w:space="0" w:color="auto"/>
        <w:right w:val="none" w:sz="0" w:space="0" w:color="auto"/>
      </w:divBdr>
    </w:div>
    <w:div w:id="1284657701">
      <w:bodyDiv w:val="1"/>
      <w:marLeft w:val="0"/>
      <w:marRight w:val="0"/>
      <w:marTop w:val="0"/>
      <w:marBottom w:val="0"/>
      <w:divBdr>
        <w:top w:val="none" w:sz="0" w:space="0" w:color="auto"/>
        <w:left w:val="none" w:sz="0" w:space="0" w:color="auto"/>
        <w:bottom w:val="none" w:sz="0" w:space="0" w:color="auto"/>
        <w:right w:val="none" w:sz="0" w:space="0" w:color="auto"/>
      </w:divBdr>
      <w:divsChild>
        <w:div w:id="1324705060">
          <w:marLeft w:val="0"/>
          <w:marRight w:val="0"/>
          <w:marTop w:val="0"/>
          <w:marBottom w:val="0"/>
          <w:divBdr>
            <w:top w:val="none" w:sz="0" w:space="0" w:color="auto"/>
            <w:left w:val="none" w:sz="0" w:space="0" w:color="auto"/>
            <w:bottom w:val="none" w:sz="0" w:space="0" w:color="auto"/>
            <w:right w:val="none" w:sz="0" w:space="0" w:color="auto"/>
          </w:divBdr>
          <w:divsChild>
            <w:div w:id="703872186">
              <w:marLeft w:val="0"/>
              <w:marRight w:val="0"/>
              <w:marTop w:val="0"/>
              <w:marBottom w:val="0"/>
              <w:divBdr>
                <w:top w:val="none" w:sz="0" w:space="0" w:color="auto"/>
                <w:left w:val="none" w:sz="0" w:space="0" w:color="auto"/>
                <w:bottom w:val="none" w:sz="0" w:space="0" w:color="auto"/>
                <w:right w:val="none" w:sz="0" w:space="0" w:color="auto"/>
              </w:divBdr>
              <w:divsChild>
                <w:div w:id="1757438450">
                  <w:marLeft w:val="0"/>
                  <w:marRight w:val="0"/>
                  <w:marTop w:val="0"/>
                  <w:marBottom w:val="0"/>
                  <w:divBdr>
                    <w:top w:val="none" w:sz="0" w:space="0" w:color="auto"/>
                    <w:left w:val="none" w:sz="0" w:space="0" w:color="auto"/>
                    <w:bottom w:val="none" w:sz="0" w:space="0" w:color="auto"/>
                    <w:right w:val="none" w:sz="0" w:space="0" w:color="auto"/>
                  </w:divBdr>
                  <w:divsChild>
                    <w:div w:id="417990249">
                      <w:marLeft w:val="0"/>
                      <w:marRight w:val="0"/>
                      <w:marTop w:val="0"/>
                      <w:marBottom w:val="0"/>
                      <w:divBdr>
                        <w:top w:val="none" w:sz="0" w:space="0" w:color="auto"/>
                        <w:left w:val="none" w:sz="0" w:space="0" w:color="auto"/>
                        <w:bottom w:val="none" w:sz="0" w:space="0" w:color="auto"/>
                        <w:right w:val="none" w:sz="0" w:space="0" w:color="auto"/>
                      </w:divBdr>
                      <w:divsChild>
                        <w:div w:id="1256400676">
                          <w:marLeft w:val="0"/>
                          <w:marRight w:val="0"/>
                          <w:marTop w:val="0"/>
                          <w:marBottom w:val="0"/>
                          <w:divBdr>
                            <w:top w:val="none" w:sz="0" w:space="0" w:color="auto"/>
                            <w:left w:val="none" w:sz="0" w:space="0" w:color="auto"/>
                            <w:bottom w:val="none" w:sz="0" w:space="0" w:color="auto"/>
                            <w:right w:val="none" w:sz="0" w:space="0" w:color="auto"/>
                          </w:divBdr>
                          <w:divsChild>
                            <w:div w:id="51480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22029">
      <w:bodyDiv w:val="1"/>
      <w:marLeft w:val="0"/>
      <w:marRight w:val="0"/>
      <w:marTop w:val="0"/>
      <w:marBottom w:val="0"/>
      <w:divBdr>
        <w:top w:val="none" w:sz="0" w:space="0" w:color="auto"/>
        <w:left w:val="none" w:sz="0" w:space="0" w:color="auto"/>
        <w:bottom w:val="none" w:sz="0" w:space="0" w:color="auto"/>
        <w:right w:val="none" w:sz="0" w:space="0" w:color="auto"/>
      </w:divBdr>
    </w:div>
    <w:div w:id="1290555305">
      <w:bodyDiv w:val="1"/>
      <w:marLeft w:val="0"/>
      <w:marRight w:val="0"/>
      <w:marTop w:val="0"/>
      <w:marBottom w:val="0"/>
      <w:divBdr>
        <w:top w:val="none" w:sz="0" w:space="0" w:color="auto"/>
        <w:left w:val="none" w:sz="0" w:space="0" w:color="auto"/>
        <w:bottom w:val="none" w:sz="0" w:space="0" w:color="auto"/>
        <w:right w:val="none" w:sz="0" w:space="0" w:color="auto"/>
      </w:divBdr>
    </w:div>
    <w:div w:id="1324966223">
      <w:bodyDiv w:val="1"/>
      <w:marLeft w:val="0"/>
      <w:marRight w:val="0"/>
      <w:marTop w:val="0"/>
      <w:marBottom w:val="0"/>
      <w:divBdr>
        <w:top w:val="none" w:sz="0" w:space="0" w:color="auto"/>
        <w:left w:val="none" w:sz="0" w:space="0" w:color="auto"/>
        <w:bottom w:val="none" w:sz="0" w:space="0" w:color="auto"/>
        <w:right w:val="none" w:sz="0" w:space="0" w:color="auto"/>
      </w:divBdr>
      <w:divsChild>
        <w:div w:id="1911303210">
          <w:marLeft w:val="0"/>
          <w:marRight w:val="0"/>
          <w:marTop w:val="0"/>
          <w:marBottom w:val="0"/>
          <w:divBdr>
            <w:top w:val="none" w:sz="0" w:space="0" w:color="auto"/>
            <w:left w:val="none" w:sz="0" w:space="0" w:color="auto"/>
            <w:bottom w:val="none" w:sz="0" w:space="0" w:color="auto"/>
            <w:right w:val="none" w:sz="0" w:space="0" w:color="auto"/>
          </w:divBdr>
          <w:divsChild>
            <w:div w:id="166099599">
              <w:marLeft w:val="0"/>
              <w:marRight w:val="0"/>
              <w:marTop w:val="0"/>
              <w:marBottom w:val="0"/>
              <w:divBdr>
                <w:top w:val="none" w:sz="0" w:space="0" w:color="auto"/>
                <w:left w:val="none" w:sz="0" w:space="0" w:color="auto"/>
                <w:bottom w:val="none" w:sz="0" w:space="0" w:color="auto"/>
                <w:right w:val="none" w:sz="0" w:space="0" w:color="auto"/>
              </w:divBdr>
              <w:divsChild>
                <w:div w:id="1060789338">
                  <w:marLeft w:val="0"/>
                  <w:marRight w:val="0"/>
                  <w:marTop w:val="0"/>
                  <w:marBottom w:val="0"/>
                  <w:divBdr>
                    <w:top w:val="none" w:sz="0" w:space="0" w:color="auto"/>
                    <w:left w:val="none" w:sz="0" w:space="0" w:color="auto"/>
                    <w:bottom w:val="none" w:sz="0" w:space="0" w:color="auto"/>
                    <w:right w:val="none" w:sz="0" w:space="0" w:color="auto"/>
                  </w:divBdr>
                  <w:divsChild>
                    <w:div w:id="13159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172825">
      <w:bodyDiv w:val="1"/>
      <w:marLeft w:val="0"/>
      <w:marRight w:val="0"/>
      <w:marTop w:val="0"/>
      <w:marBottom w:val="0"/>
      <w:divBdr>
        <w:top w:val="none" w:sz="0" w:space="0" w:color="auto"/>
        <w:left w:val="none" w:sz="0" w:space="0" w:color="auto"/>
        <w:bottom w:val="none" w:sz="0" w:space="0" w:color="auto"/>
        <w:right w:val="none" w:sz="0" w:space="0" w:color="auto"/>
      </w:divBdr>
    </w:div>
    <w:div w:id="1376125603">
      <w:bodyDiv w:val="1"/>
      <w:marLeft w:val="0"/>
      <w:marRight w:val="0"/>
      <w:marTop w:val="0"/>
      <w:marBottom w:val="0"/>
      <w:divBdr>
        <w:top w:val="none" w:sz="0" w:space="0" w:color="auto"/>
        <w:left w:val="none" w:sz="0" w:space="0" w:color="auto"/>
        <w:bottom w:val="none" w:sz="0" w:space="0" w:color="auto"/>
        <w:right w:val="none" w:sz="0" w:space="0" w:color="auto"/>
      </w:divBdr>
    </w:div>
    <w:div w:id="1487553318">
      <w:bodyDiv w:val="1"/>
      <w:marLeft w:val="0"/>
      <w:marRight w:val="0"/>
      <w:marTop w:val="0"/>
      <w:marBottom w:val="0"/>
      <w:divBdr>
        <w:top w:val="none" w:sz="0" w:space="0" w:color="auto"/>
        <w:left w:val="none" w:sz="0" w:space="0" w:color="auto"/>
        <w:bottom w:val="none" w:sz="0" w:space="0" w:color="auto"/>
        <w:right w:val="none" w:sz="0" w:space="0" w:color="auto"/>
      </w:divBdr>
    </w:div>
    <w:div w:id="1634099165">
      <w:bodyDiv w:val="1"/>
      <w:marLeft w:val="0"/>
      <w:marRight w:val="0"/>
      <w:marTop w:val="0"/>
      <w:marBottom w:val="0"/>
      <w:divBdr>
        <w:top w:val="none" w:sz="0" w:space="0" w:color="auto"/>
        <w:left w:val="none" w:sz="0" w:space="0" w:color="auto"/>
        <w:bottom w:val="none" w:sz="0" w:space="0" w:color="auto"/>
        <w:right w:val="none" w:sz="0" w:space="0" w:color="auto"/>
      </w:divBdr>
    </w:div>
    <w:div w:id="1708291220">
      <w:bodyDiv w:val="1"/>
      <w:marLeft w:val="0"/>
      <w:marRight w:val="0"/>
      <w:marTop w:val="0"/>
      <w:marBottom w:val="0"/>
      <w:divBdr>
        <w:top w:val="none" w:sz="0" w:space="0" w:color="auto"/>
        <w:left w:val="none" w:sz="0" w:space="0" w:color="auto"/>
        <w:bottom w:val="none" w:sz="0" w:space="0" w:color="auto"/>
        <w:right w:val="none" w:sz="0" w:space="0" w:color="auto"/>
      </w:divBdr>
    </w:div>
    <w:div w:id="1747610930">
      <w:bodyDiv w:val="1"/>
      <w:marLeft w:val="0"/>
      <w:marRight w:val="0"/>
      <w:marTop w:val="0"/>
      <w:marBottom w:val="0"/>
      <w:divBdr>
        <w:top w:val="none" w:sz="0" w:space="0" w:color="auto"/>
        <w:left w:val="none" w:sz="0" w:space="0" w:color="auto"/>
        <w:bottom w:val="none" w:sz="0" w:space="0" w:color="auto"/>
        <w:right w:val="none" w:sz="0" w:space="0" w:color="auto"/>
      </w:divBdr>
    </w:div>
    <w:div w:id="1861234084">
      <w:bodyDiv w:val="1"/>
      <w:marLeft w:val="0"/>
      <w:marRight w:val="0"/>
      <w:marTop w:val="0"/>
      <w:marBottom w:val="0"/>
      <w:divBdr>
        <w:top w:val="none" w:sz="0" w:space="0" w:color="auto"/>
        <w:left w:val="none" w:sz="0" w:space="0" w:color="auto"/>
        <w:bottom w:val="none" w:sz="0" w:space="0" w:color="auto"/>
        <w:right w:val="none" w:sz="0" w:space="0" w:color="auto"/>
      </w:divBdr>
    </w:div>
    <w:div w:id="187977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86880">
          <w:marLeft w:val="0"/>
          <w:marRight w:val="0"/>
          <w:marTop w:val="0"/>
          <w:marBottom w:val="0"/>
          <w:divBdr>
            <w:top w:val="none" w:sz="0" w:space="0" w:color="auto"/>
            <w:left w:val="none" w:sz="0" w:space="0" w:color="auto"/>
            <w:bottom w:val="none" w:sz="0" w:space="0" w:color="auto"/>
            <w:right w:val="none" w:sz="0" w:space="0" w:color="auto"/>
          </w:divBdr>
          <w:divsChild>
            <w:div w:id="1489983299">
              <w:marLeft w:val="0"/>
              <w:marRight w:val="0"/>
              <w:marTop w:val="0"/>
              <w:marBottom w:val="0"/>
              <w:divBdr>
                <w:top w:val="none" w:sz="0" w:space="0" w:color="auto"/>
                <w:left w:val="none" w:sz="0" w:space="0" w:color="auto"/>
                <w:bottom w:val="none" w:sz="0" w:space="0" w:color="auto"/>
                <w:right w:val="none" w:sz="0" w:space="0" w:color="auto"/>
              </w:divBdr>
              <w:divsChild>
                <w:div w:id="161626525">
                  <w:marLeft w:val="0"/>
                  <w:marRight w:val="0"/>
                  <w:marTop w:val="0"/>
                  <w:marBottom w:val="0"/>
                  <w:divBdr>
                    <w:top w:val="none" w:sz="0" w:space="0" w:color="auto"/>
                    <w:left w:val="none" w:sz="0" w:space="0" w:color="auto"/>
                    <w:bottom w:val="none" w:sz="0" w:space="0" w:color="auto"/>
                    <w:right w:val="none" w:sz="0" w:space="0" w:color="auto"/>
                  </w:divBdr>
                  <w:divsChild>
                    <w:div w:id="1223323679">
                      <w:marLeft w:val="0"/>
                      <w:marRight w:val="0"/>
                      <w:marTop w:val="0"/>
                      <w:marBottom w:val="0"/>
                      <w:divBdr>
                        <w:top w:val="none" w:sz="0" w:space="0" w:color="auto"/>
                        <w:left w:val="none" w:sz="0" w:space="0" w:color="auto"/>
                        <w:bottom w:val="none" w:sz="0" w:space="0" w:color="auto"/>
                        <w:right w:val="none" w:sz="0" w:space="0" w:color="auto"/>
                      </w:divBdr>
                    </w:div>
                    <w:div w:id="18770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980852">
      <w:bodyDiv w:val="1"/>
      <w:marLeft w:val="0"/>
      <w:marRight w:val="0"/>
      <w:marTop w:val="0"/>
      <w:marBottom w:val="0"/>
      <w:divBdr>
        <w:top w:val="none" w:sz="0" w:space="0" w:color="auto"/>
        <w:left w:val="none" w:sz="0" w:space="0" w:color="auto"/>
        <w:bottom w:val="none" w:sz="0" w:space="0" w:color="auto"/>
        <w:right w:val="none" w:sz="0" w:space="0" w:color="auto"/>
      </w:divBdr>
    </w:div>
    <w:div w:id="2005621400">
      <w:bodyDiv w:val="1"/>
      <w:marLeft w:val="0"/>
      <w:marRight w:val="0"/>
      <w:marTop w:val="0"/>
      <w:marBottom w:val="0"/>
      <w:divBdr>
        <w:top w:val="none" w:sz="0" w:space="0" w:color="auto"/>
        <w:left w:val="none" w:sz="0" w:space="0" w:color="auto"/>
        <w:bottom w:val="none" w:sz="0" w:space="0" w:color="auto"/>
        <w:right w:val="none" w:sz="0" w:space="0" w:color="auto"/>
      </w:divBdr>
    </w:div>
    <w:div w:id="2018846999">
      <w:bodyDiv w:val="1"/>
      <w:marLeft w:val="0"/>
      <w:marRight w:val="0"/>
      <w:marTop w:val="0"/>
      <w:marBottom w:val="0"/>
      <w:divBdr>
        <w:top w:val="none" w:sz="0" w:space="0" w:color="auto"/>
        <w:left w:val="none" w:sz="0" w:space="0" w:color="auto"/>
        <w:bottom w:val="none" w:sz="0" w:space="0" w:color="auto"/>
        <w:right w:val="none" w:sz="0" w:space="0" w:color="auto"/>
      </w:divBdr>
    </w:div>
    <w:div w:id="2060013203">
      <w:bodyDiv w:val="1"/>
      <w:marLeft w:val="0"/>
      <w:marRight w:val="0"/>
      <w:marTop w:val="0"/>
      <w:marBottom w:val="0"/>
      <w:divBdr>
        <w:top w:val="none" w:sz="0" w:space="0" w:color="auto"/>
        <w:left w:val="none" w:sz="0" w:space="0" w:color="auto"/>
        <w:bottom w:val="none" w:sz="0" w:space="0" w:color="auto"/>
        <w:right w:val="none" w:sz="0" w:space="0" w:color="auto"/>
      </w:divBdr>
    </w:div>
    <w:div w:id="2093700951">
      <w:bodyDiv w:val="1"/>
      <w:marLeft w:val="0"/>
      <w:marRight w:val="0"/>
      <w:marTop w:val="0"/>
      <w:marBottom w:val="0"/>
      <w:divBdr>
        <w:top w:val="none" w:sz="0" w:space="0" w:color="auto"/>
        <w:left w:val="none" w:sz="0" w:space="0" w:color="auto"/>
        <w:bottom w:val="none" w:sz="0" w:space="0" w:color="auto"/>
        <w:right w:val="none" w:sz="0" w:space="0" w:color="auto"/>
      </w:divBdr>
    </w:div>
    <w:div w:id="21170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pubenchmark.net/cpu_list.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10978</Words>
  <Characters>64775</Characters>
  <Application>Microsoft Office Word</Application>
  <DocSecurity>0</DocSecurity>
  <Lines>539</Lines>
  <Paragraphs>151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75602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2015-01-30T08:17:00Z</dcterms:created>
  <dcterms:modified xsi:type="dcterms:W3CDTF">2015-01-30T08:23:00Z</dcterms:modified>
  <cp:category/>
</cp:coreProperties>
</file>